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0" w:type="dxa"/>
        <w:jc w:val="center"/>
        <w:tblCellSpacing w:w="15" w:type="dxa"/>
        <w:tblCellMar>
          <w:left w:w="0" w:type="dxa"/>
          <w:right w:w="0" w:type="dxa"/>
        </w:tblCellMar>
        <w:tblLook w:val="04A0" w:firstRow="1" w:lastRow="0" w:firstColumn="1" w:lastColumn="0" w:noHBand="0" w:noVBand="1"/>
      </w:tblPr>
      <w:tblGrid>
        <w:gridCol w:w="9060"/>
      </w:tblGrid>
      <w:tr w:rsidR="008E2307" w:rsidTr="008E2307">
        <w:trPr>
          <w:trHeight w:val="200"/>
          <w:tblCellSpacing w:w="15" w:type="dxa"/>
          <w:jc w:val="center"/>
        </w:trPr>
        <w:tc>
          <w:tcPr>
            <w:tcW w:w="0" w:type="auto"/>
            <w:vAlign w:val="center"/>
            <w:hideMark/>
          </w:tcPr>
          <w:p w:rsidR="008E2307" w:rsidRDefault="008E2307"/>
        </w:tc>
      </w:tr>
      <w:tr w:rsidR="008E2307" w:rsidTr="008E2307">
        <w:trPr>
          <w:tblCellSpacing w:w="15" w:type="dxa"/>
          <w:jc w:val="center"/>
        </w:trPr>
        <w:tc>
          <w:tcPr>
            <w:tcW w:w="0" w:type="auto"/>
            <w:vAlign w:val="center"/>
            <w:hideMark/>
          </w:tcPr>
          <w:tbl>
            <w:tblPr>
              <w:tblW w:w="8400" w:type="dxa"/>
              <w:tblCellSpacing w:w="0" w:type="dxa"/>
              <w:tblCellMar>
                <w:left w:w="0" w:type="dxa"/>
                <w:right w:w="0" w:type="dxa"/>
              </w:tblCellMar>
              <w:tblLook w:val="04A0" w:firstRow="1" w:lastRow="0" w:firstColumn="1" w:lastColumn="0" w:noHBand="0" w:noVBand="1"/>
            </w:tblPr>
            <w:tblGrid>
              <w:gridCol w:w="9000"/>
            </w:tblGrid>
            <w:tr w:rsidR="008E2307">
              <w:trPr>
                <w:trHeight w:val="100"/>
                <w:tblCellSpacing w:w="0" w:type="dxa"/>
              </w:trPr>
              <w:tc>
                <w:tcPr>
                  <w:tcW w:w="8400" w:type="dxa"/>
                  <w:vAlign w:val="center"/>
                  <w:hideMark/>
                </w:tcPr>
                <w:p w:rsidR="008E2307" w:rsidRDefault="008E2307">
                  <w:pPr>
                    <w:rPr>
                      <w:rFonts w:ascii="Times New Roman" w:eastAsia="Times New Roman" w:hAnsi="Times New Roman" w:cs="Times New Roman"/>
                      <w:sz w:val="20"/>
                      <w:szCs w:val="20"/>
                    </w:rPr>
                  </w:pPr>
                </w:p>
              </w:tc>
            </w:tr>
            <w:tr w:rsidR="008E2307">
              <w:trPr>
                <w:tblCellSpacing w:w="0" w:type="dxa"/>
              </w:trPr>
              <w:tc>
                <w:tcPr>
                  <w:tcW w:w="8400" w:type="dxa"/>
                  <w:vAlign w:val="center"/>
                  <w:hideMark/>
                </w:tcPr>
                <w:p w:rsidR="008E2307" w:rsidRDefault="008E2307">
                  <w:pPr>
                    <w:spacing w:line="300" w:lineRule="atLeast"/>
                    <w:jc w:val="center"/>
                    <w:rPr>
                      <w:rFonts w:ascii="Helvetica" w:hAnsi="Helvetica" w:cs="Helvetica"/>
                      <w:color w:val="444444"/>
                    </w:rPr>
                  </w:pPr>
                  <w:r>
                    <w:rPr>
                      <w:rFonts w:ascii="Helvetica" w:hAnsi="Helvetica" w:cs="Helvetica"/>
                      <w:noProof/>
                      <w:color w:val="444444"/>
                    </w:rPr>
                    <w:drawing>
                      <wp:inline distT="0" distB="0" distL="0" distR="0">
                        <wp:extent cx="5715000" cy="12509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250950"/>
                                </a:xfrm>
                                <a:prstGeom prst="rect">
                                  <a:avLst/>
                                </a:prstGeom>
                                <a:noFill/>
                                <a:ln>
                                  <a:noFill/>
                                </a:ln>
                              </pic:spPr>
                            </pic:pic>
                          </a:graphicData>
                        </a:graphic>
                      </wp:inline>
                    </w:drawing>
                  </w:r>
                </w:p>
              </w:tc>
            </w:tr>
            <w:tr w:rsidR="008E2307">
              <w:trPr>
                <w:trHeight w:val="100"/>
                <w:tblCellSpacing w:w="0" w:type="dxa"/>
              </w:trPr>
              <w:tc>
                <w:tcPr>
                  <w:tcW w:w="8400" w:type="dxa"/>
                  <w:vAlign w:val="center"/>
                  <w:hideMark/>
                </w:tcPr>
                <w:p w:rsidR="008E2307" w:rsidRDefault="008E2307">
                  <w:pPr>
                    <w:rPr>
                      <w:rFonts w:ascii="Helvetica" w:hAnsi="Helvetica" w:cs="Helvetica"/>
                      <w:color w:val="444444"/>
                    </w:rPr>
                  </w:pPr>
                </w:p>
              </w:tc>
            </w:tr>
          </w:tbl>
          <w:p w:rsidR="008E2307" w:rsidRDefault="008E2307">
            <w:pPr>
              <w:pStyle w:val="Titre2"/>
              <w:spacing w:line="300" w:lineRule="atLeast"/>
            </w:pPr>
            <w:r>
              <w:rPr>
                <w:rStyle w:val="lev"/>
                <w:b/>
                <w:bCs/>
              </w:rPr>
              <w:t>L'AAP informe et soutient ses membres</w:t>
            </w:r>
          </w:p>
          <w:p w:rsidR="008E2307" w:rsidRDefault="008E2307">
            <w:pPr>
              <w:spacing w:after="240" w:line="300" w:lineRule="atLeast"/>
              <w:rPr>
                <w:rFonts w:ascii="Helvetica" w:hAnsi="Helvetica" w:cs="Helvetica"/>
                <w:color w:val="444444"/>
              </w:rPr>
            </w:pPr>
            <w:r>
              <w:rPr>
                <w:rFonts w:ascii="Helvetica" w:hAnsi="Helvetica" w:cs="Helvetica"/>
                <w:color w:val="444444"/>
              </w:rPr>
              <w:br/>
              <w:t>En ces moments de crise sanitaire COVID-19, plusieurs sont actuellement en isolement, volontaire ou non, pour deux semaines.</w:t>
            </w:r>
            <w:r>
              <w:rPr>
                <w:rFonts w:ascii="Helvetica" w:hAnsi="Helvetica" w:cs="Helvetica"/>
                <w:color w:val="444444"/>
              </w:rPr>
              <w:br/>
            </w:r>
            <w:r>
              <w:rPr>
                <w:rFonts w:ascii="Helvetica" w:hAnsi="Helvetica" w:cs="Helvetica"/>
                <w:color w:val="444444"/>
              </w:rPr>
              <w:br/>
              <w:t xml:space="preserve">Afin de vous soutenir dans votre pratique, l'AAP a négocié une entente avec CBCI télécom, fournisseur du système de visioconférence utilisé par les services gourvernementaux, la Cour du Québec et le système carcéral québécois.  Il est possible aux membres de l'AAP de s'abonner à ce système de visioconférence pour aussi peu que 39,99 $ par mois, pour un engagement de 3 mois, avec prélèvemetns mensuels sur une carte de crédit.  Après cette périonde de 3 mois, vous déciderez si vous désirez ou non continuer l'abonnement mensuel au même taux.  Il vous sera aussi possible de prendre un abonnement annuel pour un taux encore meilleur.  </w:t>
            </w:r>
            <w:r>
              <w:rPr>
                <w:rStyle w:val="lev"/>
                <w:rFonts w:ascii="Helvetica" w:hAnsi="Helvetica" w:cs="Helvetica"/>
                <w:color w:val="444444"/>
              </w:rPr>
              <w:t>Le client n'a pas à s'abonner au système</w:t>
            </w:r>
            <w:r>
              <w:rPr>
                <w:rFonts w:ascii="Helvetica" w:hAnsi="Helvetica" w:cs="Helvetica"/>
                <w:color w:val="444444"/>
              </w:rPr>
              <w:t>, l'avocat lui envoie le lien par courriel pour se brancher. </w:t>
            </w:r>
            <w:r>
              <w:rPr>
                <w:rFonts w:ascii="Helvetica" w:hAnsi="Helvetica" w:cs="Helvetica"/>
                <w:color w:val="0000FF"/>
              </w:rPr>
              <w:t xml:space="preserve"> Cela évitera les rencontres en personne et la transmission du virus.</w:t>
            </w:r>
            <w:r>
              <w:rPr>
                <w:rFonts w:ascii="Helvetica" w:hAnsi="Helvetica" w:cs="Helvetica"/>
                <w:color w:val="444444"/>
              </w:rPr>
              <w:t>  Ce système peut aussi être utilisé pour communiquer avec un détenu, selon une procédure spécifique au système carcéral.  Pour vous abonner </w:t>
            </w:r>
            <w:hyperlink r:id="rId5" w:history="1">
              <w:r>
                <w:rPr>
                  <w:rStyle w:val="Lienhypertexte"/>
                </w:rPr>
                <w:t>vms.orders@CBCITelecom.com</w:t>
              </w:r>
            </w:hyperlink>
            <w:r>
              <w:rPr>
                <w:rFonts w:ascii="Helvetica" w:hAnsi="Helvetica" w:cs="Helvetica"/>
                <w:color w:val="444444"/>
              </w:rPr>
              <w:t xml:space="preserve"> cc : </w:t>
            </w:r>
            <w:hyperlink r:id="rId6" w:history="1">
              <w:r>
                <w:rPr>
                  <w:rStyle w:val="Lienhypertexte"/>
                </w:rPr>
                <w:t>jchisholm@cbcitelecom.com</w:t>
              </w:r>
            </w:hyperlink>
            <w:r>
              <w:rPr>
                <w:rFonts w:ascii="Helvetica" w:hAnsi="Helvetica" w:cs="Helvetica"/>
                <w:color w:val="444444"/>
              </w:rPr>
              <w:t> ou par téléphone 514-422-9333 composer 1.</w:t>
            </w:r>
          </w:p>
          <w:p w:rsidR="008E2307" w:rsidRDefault="008E2307">
            <w:pPr>
              <w:pStyle w:val="Titre2"/>
              <w:spacing w:line="300" w:lineRule="atLeast"/>
            </w:pPr>
            <w:r>
              <w:br/>
            </w:r>
            <w:r>
              <w:rPr>
                <w:color w:val="3399FF"/>
              </w:rPr>
              <w:t>SOYONS SOLIDAIRES ET ÉVITONS LA PROPAGATION DU VIRUS</w:t>
            </w:r>
          </w:p>
          <w:p w:rsidR="008E2307" w:rsidRDefault="008E2307">
            <w:pPr>
              <w:pStyle w:val="Titre2"/>
              <w:spacing w:line="300" w:lineRule="atLeast"/>
            </w:pPr>
            <w:r>
              <w:t>Diverses mesures mises en place par d'autres organismes</w:t>
            </w:r>
          </w:p>
          <w:p w:rsidR="008E2307" w:rsidRDefault="008E2307">
            <w:pPr>
              <w:pStyle w:val="NormalWeb"/>
              <w:spacing w:line="300" w:lineRule="atLeast"/>
            </w:pPr>
            <w:r>
              <w:br/>
              <w:t xml:space="preserve">Le </w:t>
            </w:r>
            <w:r>
              <w:rPr>
                <w:rStyle w:val="lev"/>
              </w:rPr>
              <w:t>Barreau du Québec</w:t>
            </w:r>
            <w:r>
              <w:t xml:space="preserve"> repousse la date limite de paiement de la cotisation annuelle du 1er avril au 1er juin 2020.  L'inscription annuelle doit toutefois être complétée pour le 1er avril 2020 : </w:t>
            </w:r>
            <w:hyperlink r:id="rId7" w:history="1">
              <w:r>
                <w:rPr>
                  <w:rStyle w:val="Lienhypertexte"/>
                </w:rPr>
                <w:t>tous les détails</w:t>
              </w:r>
            </w:hyperlink>
            <w:r>
              <w:t xml:space="preserve">.  Vous êtes aussi invités à vous joindre au groupe d'entraide pour avocats </w:t>
            </w:r>
            <w:hyperlink r:id="rId8" w:history="1">
              <w:r>
                <w:rPr>
                  <w:rStyle w:val="Lienhypertexte"/>
                </w:rPr>
                <w:t>Facebook</w:t>
              </w:r>
            </w:hyperlink>
            <w:r>
              <w:t xml:space="preserve"> créé relativement à cette crise.</w:t>
            </w:r>
            <w:r>
              <w:br/>
            </w:r>
            <w:r>
              <w:br/>
              <w:t>Les T</w:t>
            </w:r>
            <w:r>
              <w:rPr>
                <w:rStyle w:val="lev"/>
              </w:rPr>
              <w:t>ribunaux</w:t>
            </w:r>
            <w:r>
              <w:t xml:space="preserve"> ont aussi émis des </w:t>
            </w:r>
            <w:hyperlink r:id="rId9" w:history="1">
              <w:r>
                <w:rPr>
                  <w:rStyle w:val="Lienhypertexte"/>
                </w:rPr>
                <w:t>communiqués</w:t>
              </w:r>
            </w:hyperlink>
            <w:r>
              <w:t>.</w:t>
            </w:r>
            <w:r>
              <w:br/>
            </w:r>
            <w:r>
              <w:br/>
              <w:t>L’</w:t>
            </w:r>
            <w:r>
              <w:rPr>
                <w:rStyle w:val="lev"/>
              </w:rPr>
              <w:t>AADM</w:t>
            </w:r>
            <w:r>
              <w:t xml:space="preserve"> a sorti un communiqué hier avec l’</w:t>
            </w:r>
            <w:hyperlink r:id="rId10" w:history="1">
              <w:r>
                <w:rPr>
                  <w:rStyle w:val="Lienhypertexte"/>
                </w:rPr>
                <w:t>horaire</w:t>
              </w:r>
            </w:hyperlink>
            <w:r>
              <w:t xml:space="preserve"> par palais des avocats de garde.</w:t>
            </w:r>
            <w:r>
              <w:br/>
            </w:r>
            <w:r>
              <w:br/>
              <w:t xml:space="preserve">Le </w:t>
            </w:r>
            <w:r>
              <w:rPr>
                <w:rStyle w:val="lev"/>
              </w:rPr>
              <w:t xml:space="preserve">CAIJ </w:t>
            </w:r>
            <w:r>
              <w:t xml:space="preserve">continue d'offrir ses services, voir le </w:t>
            </w:r>
            <w:hyperlink r:id="rId11" w:history="1">
              <w:r>
                <w:rPr>
                  <w:rStyle w:val="Lienhypertexte"/>
                </w:rPr>
                <w:t>communiqué</w:t>
              </w:r>
            </w:hyperlink>
            <w:r>
              <w:t>.</w:t>
            </w:r>
            <w:r>
              <w:br/>
            </w:r>
            <w:r>
              <w:br/>
              <w:t xml:space="preserve">La </w:t>
            </w:r>
            <w:r>
              <w:rPr>
                <w:rStyle w:val="lev"/>
              </w:rPr>
              <w:t>Commission des services juridiques</w:t>
            </w:r>
            <w:r>
              <w:t xml:space="preserve"> (aide juridique) a mis en place des mesures afin de traiter les urgences pour l'émission de certains mandats d'aide juridique, ainsi qu'une procédure de </w:t>
            </w:r>
            <w:r>
              <w:lastRenderedPageBreak/>
              <w:t xml:space="preserve">traitement des réclamations d'honoraires spéciale pendant la période de crise sanitaire du COVID-19, visant à réduire la présence des avocats en salle de cour, voir les </w:t>
            </w:r>
            <w:hyperlink r:id="rId12" w:history="1">
              <w:r>
                <w:rPr>
                  <w:rStyle w:val="Lienhypertexte"/>
                </w:rPr>
                <w:t>communiqués</w:t>
              </w:r>
            </w:hyperlink>
            <w:r>
              <w:t>.</w:t>
            </w:r>
            <w:r>
              <w:br/>
            </w:r>
            <w:r>
              <w:br/>
              <w:t xml:space="preserve">Le </w:t>
            </w:r>
            <w:r>
              <w:rPr>
                <w:rStyle w:val="lev"/>
              </w:rPr>
              <w:t>Gouvernement du Québec</w:t>
            </w:r>
            <w:r>
              <w:t xml:space="preserve"> a créé un </w:t>
            </w:r>
            <w:hyperlink r:id="rId13" w:history="1">
              <w:r>
                <w:rPr>
                  <w:rStyle w:val="Lienhypertexte"/>
                </w:rPr>
                <w:t>programme d'aide financière</w:t>
              </w:r>
            </w:hyperlink>
            <w:r>
              <w:t xml:space="preserve"> pour les gens qui doivent s'isoler en raison du Coronavirus, permettant d'obtenir jusqu'à 573 $ per semaine en remplacement de revenu dans certains cas.</w:t>
            </w:r>
          </w:p>
          <w:p w:rsidR="008E2307" w:rsidRDefault="008E2307">
            <w:pPr>
              <w:spacing w:line="300" w:lineRule="atLeast"/>
              <w:rPr>
                <w:rFonts w:ascii="Helvetica" w:eastAsia="Times New Roman" w:hAnsi="Helvetica" w:cs="Helvetica"/>
                <w:color w:val="444444"/>
                <w:sz w:val="2"/>
                <w:szCs w:val="2"/>
              </w:rPr>
            </w:pPr>
            <w:r>
              <w:rPr>
                <w:rFonts w:ascii="Helvetica" w:hAnsi="Helvetica" w:cs="Helvetica"/>
                <w:noProof/>
                <w:color w:val="444444"/>
                <w:sz w:val="2"/>
                <w:szCs w:val="2"/>
              </w:rPr>
              <w:drawing>
                <wp:inline distT="0" distB="0" distL="0" distR="0">
                  <wp:extent cx="5334000" cy="63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6350"/>
                          </a:xfrm>
                          <a:prstGeom prst="rect">
                            <a:avLst/>
                          </a:prstGeom>
                          <a:noFill/>
                          <a:ln>
                            <a:noFill/>
                          </a:ln>
                        </pic:spPr>
                      </pic:pic>
                    </a:graphicData>
                  </a:graphic>
                </wp:inline>
              </w:drawing>
            </w:r>
          </w:p>
          <w:p w:rsidR="008E2307" w:rsidRDefault="008E2307">
            <w:pPr>
              <w:spacing w:line="300" w:lineRule="atLeast"/>
              <w:jc w:val="center"/>
              <w:rPr>
                <w:rFonts w:ascii="Helvetica" w:hAnsi="Helvetica" w:cs="Helvetica"/>
                <w:color w:val="444444"/>
                <w:sz w:val="20"/>
                <w:szCs w:val="20"/>
              </w:rPr>
            </w:pPr>
            <w:r>
              <w:rPr>
                <w:rFonts w:ascii="Helvetica" w:hAnsi="Helvetica" w:cs="Helvetica"/>
                <w:noProof/>
                <w:color w:val="444444"/>
              </w:rPr>
              <w:drawing>
                <wp:inline distT="0" distB="0" distL="0" distR="0">
                  <wp:extent cx="5060950" cy="10922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0" cy="1092200"/>
                          </a:xfrm>
                          <a:prstGeom prst="rect">
                            <a:avLst/>
                          </a:prstGeom>
                          <a:noFill/>
                          <a:ln>
                            <a:noFill/>
                          </a:ln>
                        </pic:spPr>
                      </pic:pic>
                    </a:graphicData>
                  </a:graphic>
                </wp:inline>
              </w:drawing>
            </w:r>
          </w:p>
          <w:tbl>
            <w:tblPr>
              <w:tblW w:w="8400" w:type="dxa"/>
              <w:jc w:val="center"/>
              <w:tblCellSpacing w:w="0" w:type="dxa"/>
              <w:tblCellMar>
                <w:left w:w="0" w:type="dxa"/>
                <w:right w:w="0" w:type="dxa"/>
              </w:tblCellMar>
              <w:tblLook w:val="04A0" w:firstRow="1" w:lastRow="0" w:firstColumn="1" w:lastColumn="0" w:noHBand="0" w:noVBand="1"/>
            </w:tblPr>
            <w:tblGrid>
              <w:gridCol w:w="4200"/>
              <w:gridCol w:w="4200"/>
            </w:tblGrid>
            <w:tr w:rsidR="008E2307">
              <w:trPr>
                <w:tblCellSpacing w:w="0" w:type="dxa"/>
                <w:jc w:val="center"/>
              </w:trPr>
              <w:tc>
                <w:tcPr>
                  <w:tcW w:w="2500" w:type="pct"/>
                  <w:hideMark/>
                </w:tcPr>
                <w:p w:rsidR="008E2307" w:rsidRDefault="008E2307">
                  <w:pPr>
                    <w:pStyle w:val="Titre2"/>
                    <w:spacing w:line="300" w:lineRule="atLeast"/>
                  </w:pPr>
                  <w:r>
                    <w:t>Vos représentants de l'AAP vous supportent</w:t>
                  </w:r>
                </w:p>
                <w:p w:rsidR="008E2307" w:rsidRDefault="008E2307">
                  <w:pPr>
                    <w:pStyle w:val="NormalWeb"/>
                    <w:spacing w:line="300" w:lineRule="atLeast"/>
                  </w:pPr>
                  <w:r>
                    <w:br/>
                    <w:t>Les membres du conseil d'administration de l'AAP vous offrent leur suport.  Si vous avez besoin d'aide, n'hésitez pas à communiquer avec votre représentant local.</w:t>
                  </w:r>
                  <w:r>
                    <w:br/>
                  </w:r>
                  <w:r>
                    <w:rPr>
                      <w:rStyle w:val="lev"/>
                    </w:rPr>
                    <w:t>Abitibi-Témiscamingue</w:t>
                  </w:r>
                  <w:r>
                    <w:t xml:space="preserve"> : Alexandra Bourgeois, présidente (819) 732-1698 # 26</w:t>
                  </w:r>
                  <w:r>
                    <w:br/>
                  </w:r>
                  <w:r>
                    <w:rPr>
                      <w:rStyle w:val="lev"/>
                    </w:rPr>
                    <w:t>Arthabaska</w:t>
                  </w:r>
                  <w:r>
                    <w:t xml:space="preserve"> : Claudia Chabot (418) 338-2181</w:t>
                  </w:r>
                  <w:r>
                    <w:br/>
                  </w:r>
                  <w:r>
                    <w:rPr>
                      <w:rStyle w:val="lev"/>
                    </w:rPr>
                    <w:t>Bas-St-Laurent-Gaspésie-Iles-de-la-Madeleine</w:t>
                  </w:r>
                  <w:r>
                    <w:t xml:space="preserve"> : Clément Massé (418) 498-3100</w:t>
                  </w:r>
                  <w:r>
                    <w:br/>
                  </w:r>
                  <w:r>
                    <w:rPr>
                      <w:rStyle w:val="lev"/>
                    </w:rPr>
                    <w:t>Côte-Nord</w:t>
                  </w:r>
                  <w:r>
                    <w:t xml:space="preserve"> : Nancy Leblanc (418) 589-5647 poste 1</w:t>
                  </w:r>
                  <w:r>
                    <w:br/>
                  </w:r>
                  <w:r>
                    <w:rPr>
                      <w:rStyle w:val="lev"/>
                    </w:rPr>
                    <w:t>Laurentides-Lanaudière</w:t>
                  </w:r>
                  <w:r>
                    <w:t>: Simon Dolci (450) 436-5712 # 226</w:t>
                  </w:r>
                </w:p>
              </w:tc>
              <w:tc>
                <w:tcPr>
                  <w:tcW w:w="2500" w:type="pct"/>
                  <w:tcMar>
                    <w:top w:w="0" w:type="dxa"/>
                    <w:left w:w="300" w:type="dxa"/>
                    <w:bottom w:w="0" w:type="dxa"/>
                    <w:right w:w="0" w:type="dxa"/>
                  </w:tcMar>
                  <w:hideMark/>
                </w:tcPr>
                <w:p w:rsidR="008E2307" w:rsidRDefault="008E2307">
                  <w:pPr>
                    <w:pStyle w:val="NormalWeb"/>
                    <w:spacing w:line="300" w:lineRule="atLeast"/>
                  </w:pPr>
                  <w:r>
                    <w:rPr>
                      <w:rStyle w:val="lev"/>
                    </w:rPr>
                    <w:t>Laval :</w:t>
                  </w:r>
                  <w:r>
                    <w:t xml:space="preserve"> Johanne Thibault (450) 664-1474, # 3</w:t>
                  </w:r>
                  <w:r>
                    <w:br/>
                  </w:r>
                  <w:r>
                    <w:rPr>
                      <w:rStyle w:val="lev"/>
                    </w:rPr>
                    <w:t xml:space="preserve">Longueuil </w:t>
                  </w:r>
                  <w:r>
                    <w:t>: David Dubois (450) 651-5110, # 226</w:t>
                  </w:r>
                  <w:r>
                    <w:br/>
                  </w:r>
                  <w:r>
                    <w:rPr>
                      <w:rStyle w:val="lev"/>
                    </w:rPr>
                    <w:t xml:space="preserve">Mauricie </w:t>
                  </w:r>
                  <w:r>
                    <w:t>: Rachel Fay-Milette (actuellement en quarantaine, mais sans symptômes) par courriel :rachel@miletteavocats.com</w:t>
                  </w:r>
                  <w:r>
                    <w:br/>
                  </w:r>
                  <w:r>
                    <w:rPr>
                      <w:rStyle w:val="lev"/>
                    </w:rPr>
                    <w:t>Saguenay-Lac-St-Jean</w:t>
                  </w:r>
                  <w:r>
                    <w:t xml:space="preserve"> : Nadine Daoud (418) 690-3545 # 313</w:t>
                  </w:r>
                  <w:r>
                    <w:br/>
                  </w:r>
                  <w:r>
                    <w:rPr>
                      <w:rStyle w:val="lev"/>
                    </w:rPr>
                    <w:t>St-François</w:t>
                  </w:r>
                  <w:r>
                    <w:t xml:space="preserve"> : Stéphanie Côté, vice-présidente (819) 843-2734</w:t>
                  </w:r>
                  <w:r>
                    <w:br/>
                  </w:r>
                  <w:r>
                    <w:rPr>
                      <w:rStyle w:val="lev"/>
                    </w:rPr>
                    <w:t>Richelieu</w:t>
                  </w:r>
                  <w:r>
                    <w:t xml:space="preserve"> : Stéphane L’Écuyer (450) 692-4588 # 1</w:t>
                  </w:r>
                  <w:r>
                    <w:br/>
                    <w:t>Pour</w:t>
                  </w:r>
                  <w:r>
                    <w:rPr>
                      <w:rStyle w:val="lev"/>
                    </w:rPr>
                    <w:t xml:space="preserve"> Bedford</w:t>
                  </w:r>
                  <w:r>
                    <w:t>, il n'y a pas actuellement de représentant, veuillez communiquer avec la directrice Isabelle Bonin (819) 475-3811 # 2</w:t>
                  </w:r>
                </w:p>
              </w:tc>
            </w:tr>
          </w:tbl>
          <w:p w:rsidR="008E2307" w:rsidRDefault="008E2307">
            <w:pPr>
              <w:spacing w:line="300" w:lineRule="atLeast"/>
              <w:rPr>
                <w:rFonts w:ascii="Helvetica" w:eastAsia="Times New Roman" w:hAnsi="Helvetica" w:cs="Helvetica"/>
                <w:color w:val="444444"/>
                <w:sz w:val="2"/>
                <w:szCs w:val="2"/>
              </w:rPr>
            </w:pPr>
            <w:r>
              <w:rPr>
                <w:rFonts w:ascii="Helvetica" w:hAnsi="Helvetica" w:cs="Helvetica"/>
                <w:noProof/>
                <w:color w:val="444444"/>
                <w:sz w:val="2"/>
                <w:szCs w:val="2"/>
              </w:rPr>
              <mc:AlternateContent>
                <mc:Choice Requires="wps">
                  <w:drawing>
                    <wp:inline distT="0" distB="0" distL="0" distR="0">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4ED06"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rsidR="008E2307" w:rsidRDefault="008E2307">
            <w:pPr>
              <w:spacing w:line="300" w:lineRule="atLeast"/>
              <w:jc w:val="center"/>
              <w:rPr>
                <w:rFonts w:ascii="Helvetica" w:hAnsi="Helvetica" w:cs="Helvetica"/>
                <w:color w:val="444444"/>
                <w:sz w:val="20"/>
                <w:szCs w:val="20"/>
              </w:rPr>
            </w:pPr>
            <w:r>
              <w:rPr>
                <w:rFonts w:ascii="Helvetica" w:hAnsi="Helvetica" w:cs="Helvetica"/>
                <w:noProof/>
                <w:color w:val="444444"/>
              </w:rPr>
              <w:drawing>
                <wp:inline distT="0" distB="0" distL="0" distR="0">
                  <wp:extent cx="5334000" cy="1454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0" cy="1454150"/>
                          </a:xfrm>
                          <a:prstGeom prst="rect">
                            <a:avLst/>
                          </a:prstGeom>
                          <a:noFill/>
                          <a:ln>
                            <a:noFill/>
                          </a:ln>
                        </pic:spPr>
                      </pic:pic>
                    </a:graphicData>
                  </a:graphic>
                </wp:inline>
              </w:drawing>
            </w:r>
          </w:p>
        </w:tc>
      </w:tr>
    </w:tbl>
    <w:p w:rsidR="00C86DCC" w:rsidRDefault="00C86DCC">
      <w:bookmarkStart w:id="0" w:name="_GoBack"/>
      <w:bookmarkEnd w:id="0"/>
    </w:p>
    <w:sectPr w:rsidR="00C86DC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07"/>
    <w:rsid w:val="008E2307"/>
    <w:rsid w:val="00C86D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6587A-7DFB-46E9-BD4D-DCC01695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307"/>
    <w:pPr>
      <w:spacing w:after="0" w:line="240" w:lineRule="auto"/>
    </w:pPr>
    <w:rPr>
      <w:rFonts w:ascii="Calibri" w:hAnsi="Calibri" w:cs="Calibri"/>
      <w:lang w:eastAsia="fr-CA"/>
    </w:rPr>
  </w:style>
  <w:style w:type="paragraph" w:styleId="Titre2">
    <w:name w:val="heading 2"/>
    <w:basedOn w:val="Normal"/>
    <w:link w:val="Titre2Car"/>
    <w:uiPriority w:val="9"/>
    <w:semiHidden/>
    <w:unhideWhenUsed/>
    <w:qFormat/>
    <w:rsid w:val="008E2307"/>
    <w:pPr>
      <w:outlineLvl w:val="1"/>
    </w:pPr>
    <w:rPr>
      <w:rFonts w:ascii="Helvetica" w:hAnsi="Helvetica" w:cs="Helvetica"/>
      <w:b/>
      <w:bC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E2307"/>
    <w:rPr>
      <w:rFonts w:ascii="Helvetica" w:hAnsi="Helvetica" w:cs="Helvetica"/>
      <w:b/>
      <w:bCs/>
      <w:color w:val="000000"/>
      <w:sz w:val="24"/>
      <w:szCs w:val="24"/>
      <w:lang w:eastAsia="fr-CA"/>
    </w:rPr>
  </w:style>
  <w:style w:type="character" w:styleId="Lienhypertexte">
    <w:name w:val="Hyperlink"/>
    <w:basedOn w:val="Policepardfaut"/>
    <w:uiPriority w:val="99"/>
    <w:semiHidden/>
    <w:unhideWhenUsed/>
    <w:rsid w:val="008E2307"/>
    <w:rPr>
      <w:color w:val="0074D7"/>
      <w:u w:val="single"/>
    </w:rPr>
  </w:style>
  <w:style w:type="paragraph" w:styleId="NormalWeb">
    <w:name w:val="Normal (Web)"/>
    <w:basedOn w:val="Normal"/>
    <w:uiPriority w:val="99"/>
    <w:semiHidden/>
    <w:unhideWhenUsed/>
    <w:rsid w:val="008E2307"/>
    <w:pPr>
      <w:spacing w:after="150"/>
    </w:pPr>
    <w:rPr>
      <w:rFonts w:ascii="Helvetica" w:hAnsi="Helvetica" w:cs="Helvetica"/>
      <w:color w:val="444444"/>
      <w:sz w:val="20"/>
      <w:szCs w:val="20"/>
    </w:rPr>
  </w:style>
  <w:style w:type="character" w:styleId="lev">
    <w:name w:val="Strong"/>
    <w:basedOn w:val="Policepardfaut"/>
    <w:uiPriority w:val="22"/>
    <w:qFormat/>
    <w:rsid w:val="008E2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vi.lnk01.com/c/443/cf822478196998700df0a030ac3e8ff8ca279319c3d33ef7945e35f4e935a8ec" TargetMode="External"/><Relationship Id="rId13" Type="http://schemas.openxmlformats.org/officeDocument/2006/relationships/hyperlink" Target="http://suivi.lnk01.com/c/443/cf822478196998700df0a030ac3e8ff8ca279319c3d33ef736f7b0380946025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ivi.lnk01.com/c/443/cf822478196998700df0a030ac3e8ff8ca279319c3d33ef78bd8dc4371009660" TargetMode="External"/><Relationship Id="rId12" Type="http://schemas.openxmlformats.org/officeDocument/2006/relationships/hyperlink" Target="http://suivi.lnk01.com/c/443/cf822478196998700df0a030ac3e8ff8ca279319c3d33ef7a40132a5ca8b40d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uivi.lnk01.com/c/443/cf822478196998700df0a030ac3e8ff8ca279319c3d33ef7f94610e4d0ad884d" TargetMode="External"/><Relationship Id="rId11" Type="http://schemas.openxmlformats.org/officeDocument/2006/relationships/hyperlink" Target="http://suivi.lnk01.com/c/443/cf822478196998700df0a030ac3e8ff8ca279319c3d33ef7de96b5ce56376ef4" TargetMode="External"/><Relationship Id="rId5" Type="http://schemas.openxmlformats.org/officeDocument/2006/relationships/hyperlink" Target="http://suivi.lnk01.com/c/443/cf822478196998700df0a030ac3e8ff8ca279319c3d33ef7c7337291b6496fef" TargetMode="External"/><Relationship Id="rId15" Type="http://schemas.openxmlformats.org/officeDocument/2006/relationships/image" Target="media/image3.jpeg"/><Relationship Id="rId10" Type="http://schemas.openxmlformats.org/officeDocument/2006/relationships/hyperlink" Target="http://suivi.lnk01.com/c/443/cf822478196998700df0a030ac3e8ff8ca279319c3d33ef7595109e7c1841969" TargetMode="External"/><Relationship Id="rId4" Type="http://schemas.openxmlformats.org/officeDocument/2006/relationships/image" Target="media/image1.jpeg"/><Relationship Id="rId9" Type="http://schemas.openxmlformats.org/officeDocument/2006/relationships/hyperlink" Target="http://suivi.lnk01.com/c/443/cf822478196998700df0a030ac3e8ff8ca279319c3d33ef7eb1d8ce85f148da9"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Rioux</dc:creator>
  <cp:keywords/>
  <dc:description/>
  <cp:lastModifiedBy>Andree Rioux</cp:lastModifiedBy>
  <cp:revision>1</cp:revision>
  <dcterms:created xsi:type="dcterms:W3CDTF">2020-03-18T02:31:00Z</dcterms:created>
  <dcterms:modified xsi:type="dcterms:W3CDTF">2020-03-18T02:31:00Z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DocID">
    <vt:lpwstr>59ae3070-218e-4e8b-8b85-4a6feeb6e1c1</vt:lpwstr>
  </property>
</Properties>
</file>