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5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70"/>
        <w:gridCol w:w="6660"/>
      </w:tblGrid>
      <w:tr w:rsidR="006421E9" w14:paraId="190143C1" w14:textId="77777777" w:rsidTr="00464704">
        <w:tc>
          <w:tcPr>
            <w:tcW w:w="11520" w:type="dxa"/>
            <w:gridSpan w:val="3"/>
          </w:tcPr>
          <w:p w14:paraId="415C9D09" w14:textId="6B8DBE2B" w:rsidR="008C275C" w:rsidRPr="00931446" w:rsidRDefault="00931446" w:rsidP="00E51E25">
            <w:pPr>
              <w:spacing w:before="3" w:line="454" w:lineRule="exact"/>
              <w:textAlignment w:val="baseline"/>
              <w:rPr>
                <w:rFonts w:ascii="Arial" w:eastAsia="Arial" w:hAnsi="Arial"/>
                <w:b/>
                <w:color w:val="D53D13"/>
                <w:spacing w:val="-4"/>
                <w:w w:val="115"/>
                <w:sz w:val="36"/>
                <w:lang w:val="fr-FR"/>
              </w:rPr>
            </w:pPr>
            <w:r w:rsidRPr="005C75C4">
              <w:rPr>
                <w:rFonts w:ascii="Arial Black" w:hAnsi="Arial Black"/>
                <w:b/>
                <w:bCs/>
                <w:color w:val="D63E14"/>
                <w:sz w:val="32"/>
                <w:szCs w:val="18"/>
              </w:rPr>
              <w:t>AVOCAT OU AVOCATE AUX AFFAIRES JURIDIQUES</w:t>
            </w:r>
            <w:r w:rsidR="000F0A2D">
              <w:rPr>
                <w:rFonts w:ascii="Arial Black" w:hAnsi="Arial Black"/>
                <w:b/>
                <w:bCs/>
                <w:color w:val="D63E14"/>
                <w:sz w:val="32"/>
                <w:szCs w:val="18"/>
              </w:rPr>
              <w:t xml:space="preserve"> </w:t>
            </w:r>
            <w:r w:rsidR="000F0A2D" w:rsidRPr="000F0A2D">
              <w:rPr>
                <w:rFonts w:ascii="Arial Black" w:hAnsi="Arial Black"/>
                <w:b/>
                <w:bCs/>
                <w:color w:val="D63E14"/>
                <w:sz w:val="22"/>
                <w:szCs w:val="12"/>
              </w:rPr>
              <w:t>(PROLONGATION)</w:t>
            </w:r>
          </w:p>
        </w:tc>
      </w:tr>
      <w:tr w:rsidR="006421E9" w14:paraId="361F9BB5" w14:textId="77777777" w:rsidTr="00464704">
        <w:tc>
          <w:tcPr>
            <w:tcW w:w="11520" w:type="dxa"/>
            <w:gridSpan w:val="3"/>
          </w:tcPr>
          <w:p w14:paraId="609102A7" w14:textId="0AFC4357" w:rsidR="003108BF" w:rsidRPr="00D44637" w:rsidRDefault="008E1FCD" w:rsidP="00B53014">
            <w:pPr>
              <w:spacing w:after="240" w:line="286" w:lineRule="auto"/>
              <w:rPr>
                <w:rFonts w:ascii="Century Gothic" w:hAnsi="Century Gothic" w:cs="Mangal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Century Gothic" w:hAnsi="Century Gothic" w:cs="Mangal"/>
                <w:b/>
                <w:bCs/>
                <w:color w:val="2F5496" w:themeColor="accent1" w:themeShade="BF"/>
                <w:sz w:val="28"/>
                <w:szCs w:val="28"/>
              </w:rPr>
              <w:t>DIRECTION GÉNÉRALE</w:t>
            </w:r>
            <w:r w:rsidR="00C40F4E">
              <w:rPr>
                <w:rFonts w:ascii="Century Gothic" w:hAnsi="Century Gothic" w:cs="Mangal"/>
                <w:b/>
                <w:bCs/>
                <w:color w:val="2F5496" w:themeColor="accent1" w:themeShade="BF"/>
                <w:sz w:val="28"/>
                <w:szCs w:val="28"/>
              </w:rPr>
              <w:t xml:space="preserve">  </w:t>
            </w:r>
            <w:r w:rsidR="00C40F4E">
              <w:rPr>
                <w:rFonts w:ascii="Century Gothic" w:hAnsi="Century Gothic" w:cs="Mangal"/>
                <w:b/>
                <w:bCs/>
                <w:color w:val="2F5496" w:themeColor="accent1" w:themeShade="BF"/>
                <w:sz w:val="28"/>
                <w:szCs w:val="28"/>
              </w:rPr>
              <w:sym w:font="Symbol" w:char="F0B7"/>
            </w:r>
            <w:r w:rsidR="00C40F4E">
              <w:rPr>
                <w:rFonts w:ascii="Century Gothic" w:hAnsi="Century Gothic" w:cs="Mangal"/>
                <w:b/>
                <w:bCs/>
                <w:color w:val="2F5496" w:themeColor="accent1" w:themeShade="BF"/>
                <w:sz w:val="28"/>
                <w:szCs w:val="28"/>
              </w:rPr>
              <w:t xml:space="preserve">  CONCOURS NO </w:t>
            </w:r>
            <w:r w:rsidR="008C275C">
              <w:rPr>
                <w:rFonts w:ascii="Century Gothic" w:hAnsi="Century Gothic" w:cs="Mangal"/>
                <w:b/>
                <w:bCs/>
                <w:color w:val="2F5496" w:themeColor="accent1" w:themeShade="BF"/>
                <w:sz w:val="28"/>
                <w:szCs w:val="28"/>
              </w:rPr>
              <w:t>1</w:t>
            </w:r>
            <w:r w:rsidR="006C4D2B">
              <w:rPr>
                <w:rFonts w:ascii="Century Gothic" w:hAnsi="Century Gothic" w:cs="Mangal"/>
                <w:b/>
                <w:bCs/>
                <w:color w:val="2F5496" w:themeColor="accent1" w:themeShade="BF"/>
                <w:sz w:val="28"/>
                <w:szCs w:val="28"/>
              </w:rPr>
              <w:t>115</w:t>
            </w:r>
          </w:p>
        </w:tc>
      </w:tr>
      <w:tr w:rsidR="0072397C" w14:paraId="0F317DEB" w14:textId="77777777" w:rsidTr="00464704">
        <w:trPr>
          <w:trHeight w:val="668"/>
        </w:trPr>
        <w:tc>
          <w:tcPr>
            <w:tcW w:w="4590" w:type="dxa"/>
          </w:tcPr>
          <w:p w14:paraId="3495119E" w14:textId="32D560FC" w:rsidR="00A76EDD" w:rsidRDefault="00A76EDD" w:rsidP="00A76EDD"/>
        </w:tc>
        <w:tc>
          <w:tcPr>
            <w:tcW w:w="270" w:type="dxa"/>
          </w:tcPr>
          <w:p w14:paraId="55D19E35" w14:textId="77777777" w:rsidR="00A76EDD" w:rsidRDefault="00A76EDD" w:rsidP="00A76EDD"/>
        </w:tc>
        <w:tc>
          <w:tcPr>
            <w:tcW w:w="6660" w:type="dxa"/>
            <w:shd w:val="clear" w:color="auto" w:fill="2F5496" w:themeFill="accent1" w:themeFillShade="BF"/>
            <w:vAlign w:val="center"/>
          </w:tcPr>
          <w:p w14:paraId="65AF3FDA" w14:textId="358A9B99" w:rsidR="00A76EDD" w:rsidRPr="006421E9" w:rsidRDefault="00A76EDD" w:rsidP="00A76EDD">
            <w:pPr>
              <w:keepNext/>
              <w:widowControl w:val="0"/>
              <w:tabs>
                <w:tab w:val="left" w:pos="5670"/>
                <w:tab w:val="left" w:pos="711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5"/>
              <w:rPr>
                <w:color w:val="FFF2CC" w:themeColor="accent4" w:themeTint="33"/>
              </w:rPr>
            </w:pPr>
            <w:r w:rsidRPr="00291819">
              <w:rPr>
                <w:rFonts w:ascii="Century Gothic" w:hAnsi="Century Gothic" w:cs="Mangal"/>
                <w:b/>
                <w:bCs/>
                <w:color w:val="FFD966" w:themeColor="accent4" w:themeTint="99"/>
                <w:sz w:val="28"/>
                <w:szCs w:val="28"/>
              </w:rPr>
              <w:t>SOMMAIRE DE LA FONCTION</w:t>
            </w:r>
          </w:p>
        </w:tc>
      </w:tr>
      <w:tr w:rsidR="0072397C" w14:paraId="38889BE9" w14:textId="77777777" w:rsidTr="00464704">
        <w:tc>
          <w:tcPr>
            <w:tcW w:w="4590" w:type="dxa"/>
            <w:shd w:val="clear" w:color="auto" w:fill="2F5496" w:themeFill="accent1" w:themeFillShade="BF"/>
          </w:tcPr>
          <w:p w14:paraId="10D86B07" w14:textId="04DF1378" w:rsidR="006421E9" w:rsidRDefault="006421E9" w:rsidP="00A46DF8">
            <w:pPr>
              <w:keepNext/>
              <w:widowControl w:val="0"/>
              <w:shd w:val="clear" w:color="auto" w:fill="FFFFFF" w:themeFill="background1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</w:pPr>
          </w:p>
          <w:p w14:paraId="5071693C" w14:textId="4D5969C2" w:rsidR="003958A0" w:rsidRPr="003958A0" w:rsidRDefault="003958A0" w:rsidP="00A46DF8">
            <w:pPr>
              <w:shd w:val="clear" w:color="auto" w:fill="FFFFFF" w:themeFill="background1"/>
            </w:pPr>
          </w:p>
          <w:p w14:paraId="78B84D2D" w14:textId="1ABC83CE" w:rsidR="003958A0" w:rsidRPr="003958A0" w:rsidRDefault="00220CEB" w:rsidP="003958A0">
            <w:pPr>
              <w:tabs>
                <w:tab w:val="left" w:pos="1470"/>
              </w:tabs>
            </w:pPr>
            <w:r w:rsidRPr="00461E4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B10091" wp14:editId="5424C384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1908810</wp:posOffset>
                  </wp:positionV>
                  <wp:extent cx="1621067" cy="681398"/>
                  <wp:effectExtent l="0" t="0" r="0" b="444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067" cy="68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14:paraId="5175A903" w14:textId="6339A48A" w:rsidR="006421E9" w:rsidRPr="00613AAC" w:rsidRDefault="006421E9" w:rsidP="00A76EDD">
            <w:pPr>
              <w:pStyle w:val="Paragraphedeliste"/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18"/>
                <w:szCs w:val="18"/>
                <w:lang w:eastAsia="fr-FR"/>
                <w14:ligatures w14:val="none"/>
                <w14:cntxtAlts w14:val="0"/>
              </w:rPr>
            </w:pPr>
          </w:p>
        </w:tc>
        <w:tc>
          <w:tcPr>
            <w:tcW w:w="6660" w:type="dxa"/>
          </w:tcPr>
          <w:p w14:paraId="3F815160" w14:textId="61A2C1DB" w:rsidR="00A76EDD" w:rsidRPr="00D71603" w:rsidRDefault="00A76EDD" w:rsidP="00140663">
            <w:pPr>
              <w:pStyle w:val="Paragraphedeliste"/>
              <w:keepNext/>
              <w:widowControl w:val="0"/>
              <w:suppressAutoHyphens/>
              <w:autoSpaceDE w:val="0"/>
              <w:autoSpaceDN w:val="0"/>
              <w:adjustRightInd w:val="0"/>
              <w:spacing w:before="240" w:after="0" w:line="240" w:lineRule="auto"/>
              <w:ind w:left="75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10"/>
                <w:szCs w:val="10"/>
                <w:lang w:eastAsia="fr-FR"/>
                <w14:ligatures w14:val="none"/>
                <w14:cntxtAlts w14:val="0"/>
              </w:rPr>
            </w:pPr>
          </w:p>
          <w:p w14:paraId="5E90C9CF" w14:textId="300891CB" w:rsidR="00931446" w:rsidRDefault="00931446" w:rsidP="00931446">
            <w:pPr>
              <w:pStyle w:val="Paragraphedeliste"/>
              <w:keepNext/>
              <w:widowControl w:val="0"/>
              <w:suppressAutoHyphens/>
              <w:autoSpaceDE w:val="0"/>
              <w:autoSpaceDN w:val="0"/>
              <w:adjustRightInd w:val="0"/>
              <w:spacing w:before="240" w:after="0" w:line="276" w:lineRule="auto"/>
              <w:ind w:left="-15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</w:pP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Sous la supervision du chef de division - Affaires juridiques, la personne titulaire du poste agit à titre d’avocat et conseiller juridique en droit municipal.</w:t>
            </w:r>
          </w:p>
          <w:p w14:paraId="30F8E1FC" w14:textId="3FE5682D" w:rsidR="00931446" w:rsidRPr="00931446" w:rsidRDefault="00931446" w:rsidP="00931446">
            <w:pPr>
              <w:pStyle w:val="Paragraphedeliste"/>
              <w:keepNext/>
              <w:widowControl w:val="0"/>
              <w:suppressAutoHyphens/>
              <w:autoSpaceDE w:val="0"/>
              <w:autoSpaceDN w:val="0"/>
              <w:adjustRightInd w:val="0"/>
              <w:spacing w:before="240" w:after="0" w:line="276" w:lineRule="auto"/>
              <w:ind w:left="-15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</w:pPr>
          </w:p>
          <w:p w14:paraId="739AFEEF" w14:textId="3EFC7823" w:rsidR="00931446" w:rsidRPr="00931446" w:rsidRDefault="00931446" w:rsidP="00931446">
            <w:pPr>
              <w:pStyle w:val="Paragraphedeliste"/>
              <w:keepNext/>
              <w:widowControl w:val="0"/>
              <w:suppressAutoHyphens/>
              <w:autoSpaceDE w:val="0"/>
              <w:autoSpaceDN w:val="0"/>
              <w:adjustRightInd w:val="0"/>
              <w:spacing w:before="240" w:after="0" w:line="276" w:lineRule="auto"/>
              <w:ind w:left="-15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</w:pP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Elle est appelée à agir dans le cadre de multiples mandats impliquant, notamment :</w:t>
            </w:r>
          </w:p>
          <w:p w14:paraId="1C3316E1" w14:textId="10C8BE5B" w:rsidR="00931446" w:rsidRPr="00931446" w:rsidRDefault="00931446" w:rsidP="002B4DD7">
            <w:pPr>
              <w:pStyle w:val="Paragraphedeliste"/>
              <w:keepNext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240" w:after="0" w:line="276" w:lineRule="auto"/>
              <w:ind w:left="345" w:hanging="270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</w:pP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D’assister l</w:t>
            </w:r>
            <w:r w:rsidR="00833867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 xml:space="preserve">’ensemble des services municipaux </w:t>
            </w: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 xml:space="preserve">dans l’interprétation et l’application des lois et règlements </w:t>
            </w:r>
            <w:r w:rsidR="00692E1D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et dans la réalisation de leurs mandats</w:t>
            </w: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;</w:t>
            </w:r>
          </w:p>
          <w:p w14:paraId="6F01798C" w14:textId="35533F74" w:rsidR="00931446" w:rsidRPr="00931446" w:rsidRDefault="007B458A" w:rsidP="002B4DD7">
            <w:pPr>
              <w:pStyle w:val="Paragraphedeliste"/>
              <w:keepNext/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240" w:after="0" w:line="276" w:lineRule="auto"/>
              <w:ind w:left="345" w:hanging="270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</w:pPr>
            <w:r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De p</w:t>
            </w:r>
            <w:r w:rsidR="00692E1D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rocéder à</w:t>
            </w:r>
            <w:r w:rsidR="00931446"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 xml:space="preserve"> la rédaction de contrats, de règlements et de documents d’appels d’offres;</w:t>
            </w:r>
          </w:p>
          <w:p w14:paraId="559E64A9" w14:textId="51EAB6ED" w:rsidR="008C5DE0" w:rsidRPr="00140663" w:rsidRDefault="00931446" w:rsidP="002B4DD7">
            <w:pPr>
              <w:pStyle w:val="Paragraphedeliste"/>
              <w:keepNext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240" w:after="0" w:line="276" w:lineRule="auto"/>
              <w:ind w:left="345" w:hanging="270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</w:pP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 xml:space="preserve">D’émettre des recommandations </w:t>
            </w:r>
            <w:r w:rsidR="005A1A91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et</w:t>
            </w: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 xml:space="preserve"> des </w:t>
            </w:r>
            <w:r w:rsidR="00FD719A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opinions</w:t>
            </w: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 xml:space="preserve"> juridiques</w:t>
            </w:r>
            <w:r w:rsidR="00FD719A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 xml:space="preserve"> dans les divers domaines du droit municipal</w:t>
            </w:r>
            <w:r w:rsidR="00043ABE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, notamment,</w:t>
            </w: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 xml:space="preserve"> en matière d’</w:t>
            </w:r>
            <w:r w:rsidR="00043ABE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urbanisme</w:t>
            </w: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, d’environnement, de gestion contractuelle, de responsabilité civile et de droit public en général.</w:t>
            </w:r>
          </w:p>
        </w:tc>
      </w:tr>
      <w:tr w:rsidR="0072397C" w14:paraId="5E8F8562" w14:textId="77777777" w:rsidTr="00464704">
        <w:trPr>
          <w:trHeight w:val="256"/>
        </w:trPr>
        <w:tc>
          <w:tcPr>
            <w:tcW w:w="4590" w:type="dxa"/>
            <w:vMerge w:val="restart"/>
            <w:shd w:val="clear" w:color="auto" w:fill="2F5496" w:themeFill="accent1" w:themeFillShade="BF"/>
          </w:tcPr>
          <w:p w14:paraId="7843961F" w14:textId="479A028E" w:rsidR="00176D14" w:rsidRPr="00A46DF8" w:rsidRDefault="00176D14" w:rsidP="00140663">
            <w:pPr>
              <w:tabs>
                <w:tab w:val="center" w:pos="2045"/>
                <w:tab w:val="right" w:pos="4090"/>
              </w:tabs>
              <w:spacing w:before="60" w:after="0" w:line="240" w:lineRule="auto"/>
              <w:ind w:right="14"/>
              <w:jc w:val="center"/>
              <w:rPr>
                <w:rFonts w:ascii="Century Gothic" w:hAnsi="Century Gothic" w:cs="Arial"/>
                <w:b/>
                <w:noProof/>
                <w:color w:val="D63E14"/>
                <w:kern w:val="0"/>
                <w:sz w:val="24"/>
                <w:szCs w:val="28"/>
                <w14:ligatures w14:val="none"/>
                <w14:cntxtAlts w14:val="0"/>
              </w:rPr>
            </w:pPr>
          </w:p>
          <w:p w14:paraId="7A60E610" w14:textId="77777777" w:rsidR="00A46DF8" w:rsidRPr="00A46DF8" w:rsidRDefault="00A46DF8" w:rsidP="00140663">
            <w:pPr>
              <w:tabs>
                <w:tab w:val="center" w:pos="2045"/>
                <w:tab w:val="right" w:pos="4090"/>
              </w:tabs>
              <w:spacing w:before="60" w:after="0" w:line="240" w:lineRule="auto"/>
              <w:ind w:right="14"/>
              <w:jc w:val="center"/>
              <w:rPr>
                <w:rFonts w:ascii="Century Gothic" w:hAnsi="Century Gothic" w:cs="Arial"/>
                <w:b/>
                <w:noProof/>
                <w:color w:val="D63E14"/>
                <w:kern w:val="0"/>
                <w:sz w:val="24"/>
                <w:szCs w:val="28"/>
                <w14:ligatures w14:val="none"/>
                <w14:cntxtAlts w14:val="0"/>
              </w:rPr>
            </w:pPr>
          </w:p>
          <w:p w14:paraId="3510BE57" w14:textId="77777777" w:rsidR="002B4DD7" w:rsidRDefault="002B4DD7" w:rsidP="002B4DD7">
            <w:pPr>
              <w:spacing w:before="15" w:line="335" w:lineRule="exact"/>
              <w:ind w:left="75"/>
              <w:textAlignment w:val="baseline"/>
              <w:rPr>
                <w:rFonts w:ascii="Century Gothic" w:eastAsia="Century Gothic" w:hAnsi="Century Gothic"/>
                <w:b/>
                <w:color w:val="FFD966"/>
                <w:sz w:val="28"/>
                <w:lang w:val="fr-FR"/>
              </w:rPr>
            </w:pPr>
            <w:r>
              <w:rPr>
                <w:rFonts w:ascii="Century Gothic" w:eastAsia="Century Gothic" w:hAnsi="Century Gothic"/>
                <w:b/>
                <w:color w:val="FFD966"/>
                <w:sz w:val="28"/>
                <w:lang w:val="fr-FR"/>
              </w:rPr>
              <w:t>CONDITIONS SALARIALES</w:t>
            </w:r>
          </w:p>
          <w:p w14:paraId="25EA68FB" w14:textId="01E091DE" w:rsidR="00005152" w:rsidRDefault="002B4DD7" w:rsidP="002B4DD7">
            <w:pPr>
              <w:spacing w:before="299" w:line="315" w:lineRule="exact"/>
              <w:ind w:left="75"/>
              <w:textAlignment w:val="baseline"/>
              <w:rPr>
                <w:rFonts w:ascii="Century Gothic" w:eastAsia="Century Gothic" w:hAnsi="Century Gothic"/>
                <w:color w:val="FFFFFF"/>
                <w:spacing w:val="-2"/>
                <w:sz w:val="22"/>
                <w:shd w:val="solid" w:color="2E5395" w:fill="2E5395"/>
                <w:lang w:val="fr-FR"/>
              </w:rPr>
            </w:pPr>
            <w:r>
              <w:rPr>
                <w:rFonts w:ascii="Century Gothic" w:eastAsia="Century Gothic" w:hAnsi="Century Gothic"/>
                <w:color w:val="FFFFFF"/>
                <w:spacing w:val="-2"/>
                <w:sz w:val="22"/>
                <w:shd w:val="solid" w:color="2E5395" w:fill="2E5395"/>
                <w:lang w:val="fr-FR"/>
              </w:rPr>
              <w:t xml:space="preserve">Le salaire annuel, selon l’expérience et les compétences, se situe entre </w:t>
            </w:r>
            <w:r w:rsidR="00005152" w:rsidRPr="00005152">
              <w:rPr>
                <w:rFonts w:ascii="Century Gothic" w:eastAsia="Century Gothic" w:hAnsi="Century Gothic"/>
                <w:color w:val="FFFFFF"/>
                <w:spacing w:val="-2"/>
                <w:sz w:val="22"/>
                <w:shd w:val="solid" w:color="2E5395" w:fill="2E5395"/>
                <w:lang w:val="fr-FR"/>
              </w:rPr>
              <w:t>81 763 $ et 108 745 $</w:t>
            </w:r>
            <w:r w:rsidR="006F6A53">
              <w:rPr>
                <w:rFonts w:ascii="Century Gothic" w:eastAsia="Century Gothic" w:hAnsi="Century Gothic"/>
                <w:color w:val="FFFFFF"/>
                <w:spacing w:val="-2"/>
                <w:sz w:val="22"/>
                <w:shd w:val="solid" w:color="2E5395" w:fill="2E5395"/>
                <w:lang w:val="fr-FR"/>
              </w:rPr>
              <w:t>.</w:t>
            </w:r>
          </w:p>
          <w:p w14:paraId="0F7DDBCF" w14:textId="5D79D4ED" w:rsidR="002B4DD7" w:rsidRDefault="002B4DD7" w:rsidP="002B4DD7">
            <w:pPr>
              <w:spacing w:before="299" w:line="315" w:lineRule="exact"/>
              <w:ind w:left="75"/>
              <w:textAlignment w:val="baseline"/>
              <w:rPr>
                <w:rFonts w:ascii="Century Gothic" w:eastAsia="Century Gothic" w:hAnsi="Century Gothic"/>
                <w:color w:val="FFFFFF"/>
                <w:spacing w:val="-4"/>
                <w:shd w:val="solid" w:color="2E5395" w:fill="2E5395"/>
                <w:lang w:val="fr-FR"/>
              </w:rPr>
            </w:pPr>
            <w:r>
              <w:rPr>
                <w:rFonts w:ascii="Century Gothic" w:eastAsia="Century Gothic" w:hAnsi="Century Gothic"/>
                <w:color w:val="FFFFFF"/>
                <w:spacing w:val="-4"/>
                <w:sz w:val="22"/>
                <w:shd w:val="solid" w:color="2E5395" w:fill="2E5395"/>
                <w:lang w:val="fr-FR"/>
              </w:rPr>
              <w:t>Les conditions de travail applicables sont prévues à l’Entente de travail du personnel cadre.</w:t>
            </w:r>
          </w:p>
          <w:p w14:paraId="6A665FBA" w14:textId="77777777" w:rsidR="002B4DD7" w:rsidRDefault="002B4DD7" w:rsidP="002B4DD7">
            <w:pPr>
              <w:spacing w:before="506" w:line="335" w:lineRule="exact"/>
              <w:ind w:left="75"/>
              <w:textAlignment w:val="baseline"/>
              <w:rPr>
                <w:rFonts w:ascii="Century Gothic" w:eastAsia="Century Gothic" w:hAnsi="Century Gothic"/>
                <w:b/>
                <w:color w:val="FFD966"/>
                <w:spacing w:val="-3"/>
                <w:sz w:val="28"/>
                <w:lang w:val="fr-FR"/>
              </w:rPr>
            </w:pPr>
            <w:r>
              <w:rPr>
                <w:rFonts w:ascii="Century Gothic" w:eastAsia="Century Gothic" w:hAnsi="Century Gothic"/>
                <w:b/>
                <w:color w:val="FFD966"/>
                <w:spacing w:val="-3"/>
                <w:sz w:val="28"/>
                <w:lang w:val="fr-FR"/>
              </w:rPr>
              <w:t>HORAIRE DE TRAVAIL</w:t>
            </w:r>
          </w:p>
          <w:p w14:paraId="74734001" w14:textId="3D5FD41B" w:rsidR="002B4DD7" w:rsidRDefault="002B4DD7" w:rsidP="002B4DD7">
            <w:pPr>
              <w:spacing w:before="225" w:line="315" w:lineRule="exact"/>
              <w:ind w:left="75"/>
              <w:textAlignment w:val="baseline"/>
              <w:rPr>
                <w:rFonts w:ascii="Century Gothic" w:eastAsia="Century Gothic" w:hAnsi="Century Gothic"/>
                <w:color w:val="FFFFFF"/>
                <w:spacing w:val="-4"/>
                <w:sz w:val="22"/>
                <w:shd w:val="solid" w:color="2E5395" w:fill="2E5395"/>
                <w:lang w:val="fr-FR"/>
              </w:rPr>
            </w:pPr>
            <w:r>
              <w:rPr>
                <w:rFonts w:ascii="Century Gothic" w:eastAsia="Century Gothic" w:hAnsi="Century Gothic"/>
                <w:color w:val="FFFFFF"/>
                <w:spacing w:val="-4"/>
                <w:sz w:val="22"/>
                <w:shd w:val="solid" w:color="2E5395" w:fill="2E5395"/>
                <w:lang w:val="fr-FR"/>
              </w:rPr>
              <w:t>L’horaire de travail régulier est de 35 h/semaine, du lundi au vendredi midi.</w:t>
            </w:r>
          </w:p>
          <w:p w14:paraId="31D547C0" w14:textId="77777777" w:rsidR="006F6A53" w:rsidRDefault="006F6A53" w:rsidP="006F6A53">
            <w:pPr>
              <w:spacing w:after="0" w:line="276" w:lineRule="auto"/>
              <w:ind w:left="75" w:right="14"/>
              <w:jc w:val="center"/>
              <w:rPr>
                <w:rFonts w:ascii="Century Gothic" w:hAnsi="Century Gothic" w:cs="Arial"/>
                <w:b/>
                <w:noProof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606F8FB9" w14:textId="7C78655B" w:rsidR="006F6A53" w:rsidRPr="00F516BB" w:rsidRDefault="006F6A53" w:rsidP="006F6A53">
            <w:pPr>
              <w:spacing w:after="0" w:line="276" w:lineRule="auto"/>
              <w:ind w:left="75" w:right="14"/>
              <w:jc w:val="center"/>
              <w:rPr>
                <w:rFonts w:ascii="Century Gothic" w:hAnsi="Century Gothic" w:cs="Arial"/>
                <w:b/>
                <w:noProof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F516BB">
              <w:rPr>
                <w:rFonts w:ascii="Century Gothic" w:hAnsi="Century Gothic" w:cs="Arial"/>
                <w:b/>
                <w:noProof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 xml:space="preserve">Vous avez jusqu’au </w:t>
            </w:r>
          </w:p>
          <w:p w14:paraId="32E986F2" w14:textId="18C19090" w:rsidR="006F6A53" w:rsidRPr="00F516BB" w:rsidRDefault="000F0A2D" w:rsidP="006F6A53">
            <w:pPr>
              <w:spacing w:after="0" w:line="276" w:lineRule="auto"/>
              <w:ind w:left="75" w:right="14"/>
              <w:jc w:val="center"/>
              <w:rPr>
                <w:rFonts w:ascii="Century Gothic" w:hAnsi="Century Gothic" w:cs="Arial"/>
                <w:b/>
                <w:noProof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Century Gothic" w:hAnsi="Century Gothic" w:cs="Arial"/>
                <w:b/>
                <w:noProof/>
                <w:color w:val="FFFFFF" w:themeColor="background1"/>
                <w:kern w:val="0"/>
                <w:sz w:val="24"/>
                <w:szCs w:val="24"/>
                <w:u w:val="single"/>
                <w14:ligatures w14:val="none"/>
                <w14:cntxtAlts w14:val="0"/>
              </w:rPr>
              <w:t>19 juin</w:t>
            </w:r>
            <w:r w:rsidR="006F6A53" w:rsidRPr="00210BA2">
              <w:rPr>
                <w:rFonts w:ascii="Century Gothic" w:hAnsi="Century Gothic" w:cs="Arial"/>
                <w:b/>
                <w:noProof/>
                <w:color w:val="FFFFFF" w:themeColor="background1"/>
                <w:kern w:val="0"/>
                <w:sz w:val="24"/>
                <w:szCs w:val="24"/>
                <w:u w:val="single"/>
                <w14:ligatures w14:val="none"/>
                <w14:cntxtAlts w14:val="0"/>
              </w:rPr>
              <w:t xml:space="preserve"> 2022</w:t>
            </w:r>
            <w:r w:rsidR="006F6A53" w:rsidRPr="00F516BB">
              <w:rPr>
                <w:rFonts w:ascii="Century Gothic" w:hAnsi="Century Gothic" w:cs="Arial"/>
                <w:b/>
                <w:noProof/>
                <w:color w:val="FFFFFF" w:themeColor="background1"/>
                <w:kern w:val="0"/>
                <w:sz w:val="24"/>
                <w:szCs w:val="24"/>
                <w14:ligatures w14:val="none"/>
                <w14:cntxtAlts w14:val="0"/>
              </w:rPr>
              <w:t xml:space="preserve"> pour soumettre votre candidature à l’adresse suivante : rimouski.ca/emplois</w:t>
            </w:r>
          </w:p>
          <w:p w14:paraId="4E046001" w14:textId="5EF10C3E" w:rsidR="00A46DF8" w:rsidRPr="00160BBC" w:rsidRDefault="00A46DF8" w:rsidP="00472B39">
            <w:pPr>
              <w:spacing w:before="235" w:after="0" w:line="403" w:lineRule="exact"/>
              <w:ind w:left="75"/>
              <w:textAlignment w:val="baseline"/>
              <w:rPr>
                <w:rFonts w:ascii="Century Gothic" w:eastAsia="Century Gothic" w:hAnsi="Century Gothic"/>
                <w:b/>
                <w:color w:val="FFD966"/>
                <w:sz w:val="28"/>
                <w:lang w:val="fr-FR"/>
              </w:rPr>
            </w:pPr>
          </w:p>
        </w:tc>
        <w:tc>
          <w:tcPr>
            <w:tcW w:w="270" w:type="dxa"/>
          </w:tcPr>
          <w:p w14:paraId="18E3D2B8" w14:textId="77777777" w:rsidR="00176D14" w:rsidRPr="00461E43" w:rsidRDefault="00176D14">
            <w:pPr>
              <w:rPr>
                <w:sz w:val="14"/>
                <w:szCs w:val="14"/>
              </w:rPr>
            </w:pPr>
          </w:p>
        </w:tc>
        <w:tc>
          <w:tcPr>
            <w:tcW w:w="6660" w:type="dxa"/>
          </w:tcPr>
          <w:p w14:paraId="771793D7" w14:textId="2B26E30D" w:rsidR="00176D14" w:rsidRPr="00461E43" w:rsidRDefault="00176D14" w:rsidP="00140663">
            <w:pPr>
              <w:keepNext/>
              <w:widowControl w:val="0"/>
              <w:tabs>
                <w:tab w:val="left" w:pos="5670"/>
                <w:tab w:val="left" w:pos="71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Century Gothic" w:hAnsi="Century Gothic" w:cs="Arial"/>
                <w:bCs/>
                <w:color w:val="auto"/>
                <w:spacing w:val="-3"/>
                <w:kern w:val="0"/>
                <w:sz w:val="8"/>
                <w:szCs w:val="8"/>
                <w:lang w:eastAsia="fr-FR"/>
                <w14:ligatures w14:val="none"/>
                <w14:cntxtAlts w14:val="0"/>
              </w:rPr>
            </w:pPr>
          </w:p>
        </w:tc>
      </w:tr>
      <w:tr w:rsidR="0072397C" w14:paraId="23F761CD" w14:textId="77777777" w:rsidTr="00464704">
        <w:trPr>
          <w:trHeight w:val="669"/>
        </w:trPr>
        <w:tc>
          <w:tcPr>
            <w:tcW w:w="4590" w:type="dxa"/>
            <w:vMerge/>
            <w:shd w:val="clear" w:color="auto" w:fill="2F5496" w:themeFill="accent1" w:themeFillShade="BF"/>
          </w:tcPr>
          <w:p w14:paraId="42FCD831" w14:textId="77777777" w:rsidR="00176D14" w:rsidRPr="00461E43" w:rsidRDefault="00176D14"/>
        </w:tc>
        <w:tc>
          <w:tcPr>
            <w:tcW w:w="270" w:type="dxa"/>
          </w:tcPr>
          <w:p w14:paraId="78FEB699" w14:textId="77777777" w:rsidR="00176D14" w:rsidRPr="00461E43" w:rsidRDefault="00176D14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  <w:shd w:val="clear" w:color="auto" w:fill="2F5496" w:themeFill="accent1" w:themeFillShade="BF"/>
            <w:vAlign w:val="center"/>
          </w:tcPr>
          <w:p w14:paraId="5EB013E0" w14:textId="7988D33D" w:rsidR="00176D14" w:rsidRPr="00461E43" w:rsidRDefault="00176D14" w:rsidP="00140663">
            <w:pPr>
              <w:keepNext/>
              <w:widowControl w:val="0"/>
              <w:tabs>
                <w:tab w:val="left" w:pos="5670"/>
                <w:tab w:val="left" w:pos="71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5"/>
              <w:rPr>
                <w:rFonts w:ascii="Century Gothic" w:hAnsi="Century Gothic" w:cs="Arial"/>
                <w:b/>
                <w:color w:val="FFD966" w:themeColor="accent4" w:themeTint="99"/>
                <w:spacing w:val="-3"/>
                <w:kern w:val="0"/>
                <w:sz w:val="28"/>
                <w:szCs w:val="28"/>
                <w:lang w:eastAsia="fr-FR"/>
                <w14:ligatures w14:val="none"/>
                <w14:cntxtAlts w14:val="0"/>
              </w:rPr>
            </w:pPr>
            <w:r w:rsidRPr="00461E43">
              <w:rPr>
                <w:rFonts w:ascii="Century Gothic" w:hAnsi="Century Gothic" w:cs="Arial"/>
                <w:b/>
                <w:color w:val="FFD966" w:themeColor="accent4" w:themeTint="99"/>
                <w:spacing w:val="-3"/>
                <w:kern w:val="0"/>
                <w:sz w:val="28"/>
                <w:szCs w:val="28"/>
                <w:lang w:eastAsia="fr-FR"/>
                <w14:ligatures w14:val="none"/>
                <w14:cntxtAlts w14:val="0"/>
              </w:rPr>
              <w:t>PROFIL DE COMPÉTENCES RECHERCHÉES</w:t>
            </w:r>
          </w:p>
        </w:tc>
      </w:tr>
      <w:tr w:rsidR="0072397C" w14:paraId="29D371FE" w14:textId="77777777" w:rsidTr="00464704">
        <w:tc>
          <w:tcPr>
            <w:tcW w:w="4590" w:type="dxa"/>
            <w:vMerge/>
            <w:shd w:val="clear" w:color="auto" w:fill="2F5496" w:themeFill="accent1" w:themeFillShade="BF"/>
          </w:tcPr>
          <w:p w14:paraId="646FBEC0" w14:textId="77777777" w:rsidR="00B231A3" w:rsidRPr="00461E43" w:rsidRDefault="00B231A3" w:rsidP="00A76EDD">
            <w:pPr>
              <w:spacing w:after="0"/>
            </w:pPr>
          </w:p>
        </w:tc>
        <w:tc>
          <w:tcPr>
            <w:tcW w:w="270" w:type="dxa"/>
          </w:tcPr>
          <w:p w14:paraId="2DF5BE51" w14:textId="77777777" w:rsidR="00B231A3" w:rsidRPr="00461E43" w:rsidRDefault="00B231A3" w:rsidP="00A76EDD">
            <w:pPr>
              <w:spacing w:after="0"/>
            </w:pPr>
          </w:p>
        </w:tc>
        <w:tc>
          <w:tcPr>
            <w:tcW w:w="6660" w:type="dxa"/>
            <w:vMerge w:val="restart"/>
            <w:shd w:val="clear" w:color="auto" w:fill="auto"/>
          </w:tcPr>
          <w:p w14:paraId="4792F8DA" w14:textId="65232CD7" w:rsidR="0031203E" w:rsidRPr="00F7655C" w:rsidRDefault="0031203E" w:rsidP="00140663">
            <w:pPr>
              <w:pStyle w:val="Paragraphedeliste"/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11"/>
              <w:jc w:val="both"/>
              <w:outlineLvl w:val="5"/>
              <w:rPr>
                <w:rFonts w:ascii="Century Gothic" w:hAnsi="Century Gothic" w:cs="Arial"/>
                <w:bCs/>
                <w:color w:val="2F5496" w:themeColor="accent1" w:themeShade="BF"/>
                <w:spacing w:val="-3"/>
                <w:kern w:val="0"/>
                <w:sz w:val="16"/>
                <w:szCs w:val="16"/>
                <w:lang w:eastAsia="fr-FR"/>
                <w14:ligatures w14:val="none"/>
                <w14:cntxtAlts w14:val="0"/>
              </w:rPr>
            </w:pPr>
          </w:p>
          <w:p w14:paraId="5E31CD76" w14:textId="77777777" w:rsidR="00931446" w:rsidRPr="00931446" w:rsidRDefault="00931446" w:rsidP="00D4667A">
            <w:pPr>
              <w:pStyle w:val="Paragraphedeliste"/>
              <w:keepNext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240" w:after="0" w:line="360" w:lineRule="auto"/>
              <w:ind w:left="345" w:hanging="270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</w:pP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Détenir un baccalauréat en droit;</w:t>
            </w:r>
          </w:p>
          <w:p w14:paraId="37A4011C" w14:textId="77777777" w:rsidR="00931446" w:rsidRPr="00931446" w:rsidRDefault="00931446" w:rsidP="00D4667A">
            <w:pPr>
              <w:pStyle w:val="Paragraphedeliste"/>
              <w:keepNext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240" w:after="0" w:line="360" w:lineRule="auto"/>
              <w:ind w:left="345" w:hanging="270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</w:pP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Être membre du Barreau du Québec;</w:t>
            </w:r>
          </w:p>
          <w:p w14:paraId="29CB4F76" w14:textId="77777777" w:rsidR="00931446" w:rsidRPr="00931446" w:rsidRDefault="00931446" w:rsidP="00D4667A">
            <w:pPr>
              <w:pStyle w:val="Paragraphedeliste"/>
              <w:keepNext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240" w:after="0" w:line="360" w:lineRule="auto"/>
              <w:ind w:left="345" w:hanging="270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</w:pP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Posséder un minimum de trois années d’expérience pertinente;</w:t>
            </w:r>
          </w:p>
          <w:p w14:paraId="77B435DC" w14:textId="77777777" w:rsidR="00931446" w:rsidRPr="00931446" w:rsidRDefault="00931446" w:rsidP="00D4667A">
            <w:pPr>
              <w:pStyle w:val="Paragraphedeliste"/>
              <w:keepNext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240" w:after="0" w:line="360" w:lineRule="auto"/>
              <w:ind w:left="345" w:hanging="270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</w:pP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Toute autre combinaison de formation et expérience jugée équivalente pourra être considérée;</w:t>
            </w:r>
          </w:p>
          <w:p w14:paraId="57832A83" w14:textId="77777777" w:rsidR="00931446" w:rsidRPr="00931446" w:rsidRDefault="00931446" w:rsidP="00D4667A">
            <w:pPr>
              <w:pStyle w:val="Paragraphedeliste"/>
              <w:keepNext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240" w:after="0" w:line="360" w:lineRule="auto"/>
              <w:ind w:left="345" w:hanging="270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</w:pP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Avoir une connaissance appréciable du droit municipal;</w:t>
            </w:r>
          </w:p>
          <w:p w14:paraId="5E02CB84" w14:textId="3F76EEB9" w:rsidR="00931446" w:rsidRPr="00931446" w:rsidRDefault="00931446" w:rsidP="00D4667A">
            <w:pPr>
              <w:pStyle w:val="Paragraphedeliste"/>
              <w:keepNext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240" w:after="0" w:line="360" w:lineRule="auto"/>
              <w:ind w:left="345" w:hanging="270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</w:pP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 xml:space="preserve">Posséder de l’expérience en matière de représentation devant les tribunaux </w:t>
            </w:r>
            <w:r w:rsidR="00AD095E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est</w:t>
            </w: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 xml:space="preserve"> un atout;</w:t>
            </w:r>
          </w:p>
          <w:p w14:paraId="2C465E52" w14:textId="77777777" w:rsidR="00931446" w:rsidRPr="00931446" w:rsidRDefault="00931446" w:rsidP="00D4667A">
            <w:pPr>
              <w:pStyle w:val="Paragraphedeliste"/>
              <w:keepNext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240" w:after="0" w:line="360" w:lineRule="auto"/>
              <w:ind w:left="345" w:hanging="270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</w:pP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Avoir une très bonne maîtrise de la langue française ainsi qu’une facilité d’élocution et de rédaction;</w:t>
            </w:r>
          </w:p>
          <w:p w14:paraId="229D41B0" w14:textId="77777777" w:rsidR="00931446" w:rsidRPr="00931446" w:rsidRDefault="00931446" w:rsidP="00D4667A">
            <w:pPr>
              <w:pStyle w:val="Paragraphedeliste"/>
              <w:keepNext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240" w:after="0" w:line="360" w:lineRule="auto"/>
              <w:ind w:left="345" w:hanging="270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</w:pP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Posséder une capacité d’analyse, de l’autonomie et des aptitudes en négociation;</w:t>
            </w:r>
          </w:p>
          <w:p w14:paraId="05EDC4DF" w14:textId="77777777" w:rsidR="00931446" w:rsidRPr="00931446" w:rsidRDefault="00931446" w:rsidP="00D4667A">
            <w:pPr>
              <w:pStyle w:val="Paragraphedeliste"/>
              <w:keepNext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240" w:after="0" w:line="360" w:lineRule="auto"/>
              <w:ind w:left="345" w:hanging="270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</w:pP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Posséder un grand sens de l’organisation, une rigueur ainsi qu’une capacité à gérer simultanément plusieurs dossiers;</w:t>
            </w:r>
          </w:p>
          <w:p w14:paraId="0DA660E1" w14:textId="77777777" w:rsidR="00931446" w:rsidRPr="00931446" w:rsidRDefault="00931446" w:rsidP="00D4667A">
            <w:pPr>
              <w:pStyle w:val="Paragraphedeliste"/>
              <w:keepNext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240" w:after="0" w:line="360" w:lineRule="auto"/>
              <w:ind w:left="345" w:hanging="270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</w:pP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Faire preuve de tact, de diplomatie et de jugement;</w:t>
            </w:r>
          </w:p>
          <w:p w14:paraId="42DF3E40" w14:textId="77777777" w:rsidR="00931446" w:rsidRPr="00931446" w:rsidRDefault="00931446" w:rsidP="00D4667A">
            <w:pPr>
              <w:pStyle w:val="Paragraphedeliste"/>
              <w:keepNext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240" w:after="0" w:line="360" w:lineRule="auto"/>
              <w:ind w:left="345" w:hanging="270"/>
              <w:jc w:val="both"/>
              <w:outlineLvl w:val="5"/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</w:pP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Faire preuve de souplesse interpersonnelle;</w:t>
            </w:r>
          </w:p>
          <w:p w14:paraId="18204A6A" w14:textId="1E29B043" w:rsidR="003958A0" w:rsidRPr="002B4DD7" w:rsidRDefault="00931446" w:rsidP="00D4667A">
            <w:pPr>
              <w:pStyle w:val="Paragraphedeliste"/>
              <w:keepNext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240" w:after="0" w:line="360" w:lineRule="auto"/>
              <w:ind w:left="345" w:hanging="270"/>
              <w:jc w:val="both"/>
              <w:outlineLvl w:val="5"/>
              <w:rPr>
                <w:rFonts w:ascii="Arial" w:eastAsia="Arial" w:hAnsi="Arial"/>
                <w:color w:val="2E5395"/>
                <w:spacing w:val="-3"/>
                <w:kern w:val="0"/>
                <w:sz w:val="22"/>
                <w:szCs w:val="22"/>
                <w:lang w:val="fr-FR" w:eastAsia="en-US"/>
                <w14:ligatures w14:val="none"/>
                <w14:cntxtAlts w14:val="0"/>
              </w:rPr>
            </w:pPr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 xml:space="preserve">Favoriser le travail en </w:t>
            </w:r>
            <w:proofErr w:type="spellStart"/>
            <w:r w:rsidRPr="00931446">
              <w:rPr>
                <w:rFonts w:ascii="Arial" w:hAnsi="Arial" w:cs="Arial"/>
                <w:bCs/>
                <w:color w:val="2F5496" w:themeColor="accent1" w:themeShade="BF"/>
                <w:spacing w:val="-3"/>
                <w:kern w:val="0"/>
                <w:sz w:val="22"/>
                <w:szCs w:val="22"/>
                <w:lang w:eastAsia="fr-FR"/>
                <w14:ligatures w14:val="none"/>
                <w14:cntxtAlts w14:val="0"/>
              </w:rPr>
              <w:t>équi</w:t>
            </w:r>
            <w:r w:rsidRPr="00931446">
              <w:rPr>
                <w:rFonts w:ascii="Arial" w:eastAsia="Arial" w:hAnsi="Arial"/>
                <w:color w:val="2E5395"/>
                <w:spacing w:val="-3"/>
                <w:kern w:val="0"/>
                <w:sz w:val="22"/>
                <w:szCs w:val="22"/>
                <w:lang w:val="fr-FR" w:eastAsia="en-US"/>
                <w14:ligatures w14:val="none"/>
                <w14:cntxtAlts w14:val="0"/>
              </w:rPr>
              <w:t>pe</w:t>
            </w:r>
            <w:proofErr w:type="spellEnd"/>
            <w:r w:rsidRPr="00931446">
              <w:rPr>
                <w:rFonts w:ascii="Arial" w:eastAsia="Arial" w:hAnsi="Arial"/>
                <w:color w:val="2E5395"/>
                <w:spacing w:val="-3"/>
                <w:kern w:val="0"/>
                <w:sz w:val="22"/>
                <w:szCs w:val="22"/>
                <w:lang w:val="fr-FR" w:eastAsia="en-US"/>
                <w14:ligatures w14:val="none"/>
                <w14:cntxtAlts w14:val="0"/>
              </w:rPr>
              <w:t xml:space="preserve"> et la synergie.</w:t>
            </w:r>
          </w:p>
        </w:tc>
      </w:tr>
      <w:tr w:rsidR="0072397C" w14:paraId="667C59E9" w14:textId="77777777" w:rsidTr="00464704">
        <w:tc>
          <w:tcPr>
            <w:tcW w:w="4590" w:type="dxa"/>
            <w:vMerge/>
            <w:shd w:val="clear" w:color="auto" w:fill="2F5496" w:themeFill="accent1" w:themeFillShade="BF"/>
          </w:tcPr>
          <w:p w14:paraId="2FC8DA91" w14:textId="77777777" w:rsidR="00B231A3" w:rsidRDefault="00B231A3"/>
        </w:tc>
        <w:tc>
          <w:tcPr>
            <w:tcW w:w="270" w:type="dxa"/>
          </w:tcPr>
          <w:p w14:paraId="4775B67B" w14:textId="77777777" w:rsidR="00B231A3" w:rsidRDefault="00B231A3"/>
        </w:tc>
        <w:tc>
          <w:tcPr>
            <w:tcW w:w="6660" w:type="dxa"/>
            <w:vMerge/>
            <w:shd w:val="clear" w:color="auto" w:fill="auto"/>
          </w:tcPr>
          <w:p w14:paraId="09E6634E" w14:textId="77777777" w:rsidR="00B231A3" w:rsidRPr="0031203E" w:rsidRDefault="00B231A3" w:rsidP="0059628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5"/>
              <w:rPr>
                <w:rFonts w:ascii="Century Gothic" w:hAnsi="Century Gothic" w:cs="Arial"/>
                <w:bCs/>
                <w:color w:val="2F5496" w:themeColor="accent1" w:themeShade="BF"/>
                <w:spacing w:val="-3"/>
                <w:kern w:val="0"/>
                <w:sz w:val="21"/>
                <w:szCs w:val="21"/>
                <w:lang w:eastAsia="fr-FR"/>
                <w14:ligatures w14:val="none"/>
                <w14:cntxtAlts w14:val="0"/>
              </w:rPr>
            </w:pPr>
          </w:p>
        </w:tc>
      </w:tr>
      <w:tr w:rsidR="0072397C" w14:paraId="46DA0A15" w14:textId="77777777" w:rsidTr="00464704">
        <w:tc>
          <w:tcPr>
            <w:tcW w:w="4590" w:type="dxa"/>
            <w:vMerge/>
            <w:shd w:val="clear" w:color="auto" w:fill="2F5496" w:themeFill="accent1" w:themeFillShade="BF"/>
          </w:tcPr>
          <w:p w14:paraId="4B9230C9" w14:textId="77777777" w:rsidR="00B231A3" w:rsidRDefault="00B231A3"/>
        </w:tc>
        <w:tc>
          <w:tcPr>
            <w:tcW w:w="270" w:type="dxa"/>
          </w:tcPr>
          <w:p w14:paraId="42667380" w14:textId="77777777" w:rsidR="00B231A3" w:rsidRDefault="00B231A3"/>
        </w:tc>
        <w:tc>
          <w:tcPr>
            <w:tcW w:w="6660" w:type="dxa"/>
            <w:vMerge/>
            <w:shd w:val="clear" w:color="auto" w:fill="auto"/>
          </w:tcPr>
          <w:p w14:paraId="6F69BF3A" w14:textId="77777777" w:rsidR="00B231A3" w:rsidRPr="0031203E" w:rsidRDefault="00B231A3" w:rsidP="0059628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5"/>
              <w:rPr>
                <w:rFonts w:ascii="Century Gothic" w:hAnsi="Century Gothic" w:cs="Arial"/>
                <w:bCs/>
                <w:color w:val="2F5496" w:themeColor="accent1" w:themeShade="BF"/>
                <w:spacing w:val="-3"/>
                <w:kern w:val="0"/>
                <w:sz w:val="21"/>
                <w:szCs w:val="21"/>
                <w:lang w:eastAsia="fr-FR"/>
                <w14:ligatures w14:val="none"/>
                <w14:cntxtAlts w14:val="0"/>
              </w:rPr>
            </w:pPr>
          </w:p>
        </w:tc>
      </w:tr>
      <w:tr w:rsidR="0072397C" w14:paraId="7020EBDD" w14:textId="77777777" w:rsidTr="00464704">
        <w:tc>
          <w:tcPr>
            <w:tcW w:w="4590" w:type="dxa"/>
            <w:vMerge/>
            <w:shd w:val="clear" w:color="auto" w:fill="2F5496" w:themeFill="accent1" w:themeFillShade="BF"/>
          </w:tcPr>
          <w:p w14:paraId="35C1A4C4" w14:textId="77777777" w:rsidR="00B231A3" w:rsidRDefault="00B231A3"/>
        </w:tc>
        <w:tc>
          <w:tcPr>
            <w:tcW w:w="270" w:type="dxa"/>
          </w:tcPr>
          <w:p w14:paraId="60DAC493" w14:textId="77777777" w:rsidR="00B231A3" w:rsidRDefault="00B231A3"/>
        </w:tc>
        <w:tc>
          <w:tcPr>
            <w:tcW w:w="6660" w:type="dxa"/>
            <w:vMerge/>
            <w:shd w:val="clear" w:color="auto" w:fill="auto"/>
          </w:tcPr>
          <w:p w14:paraId="43B41F48" w14:textId="77777777" w:rsidR="00B231A3" w:rsidRPr="0031203E" w:rsidRDefault="00B231A3" w:rsidP="0059628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5"/>
              <w:rPr>
                <w:rFonts w:ascii="Century Gothic" w:hAnsi="Century Gothic" w:cs="Arial"/>
                <w:bCs/>
                <w:color w:val="2F5496" w:themeColor="accent1" w:themeShade="BF"/>
                <w:spacing w:val="-3"/>
                <w:kern w:val="0"/>
                <w:sz w:val="21"/>
                <w:szCs w:val="21"/>
                <w:lang w:eastAsia="fr-FR"/>
                <w14:ligatures w14:val="none"/>
                <w14:cntxtAlts w14:val="0"/>
              </w:rPr>
            </w:pPr>
          </w:p>
        </w:tc>
      </w:tr>
      <w:tr w:rsidR="0072397C" w14:paraId="4C9E96E8" w14:textId="77777777" w:rsidTr="00464704">
        <w:trPr>
          <w:trHeight w:val="5233"/>
        </w:trPr>
        <w:tc>
          <w:tcPr>
            <w:tcW w:w="4590" w:type="dxa"/>
            <w:vMerge/>
            <w:shd w:val="clear" w:color="auto" w:fill="2F5496" w:themeFill="accent1" w:themeFillShade="BF"/>
          </w:tcPr>
          <w:p w14:paraId="3A056DE7" w14:textId="77777777" w:rsidR="00B231A3" w:rsidRDefault="00B231A3"/>
        </w:tc>
        <w:tc>
          <w:tcPr>
            <w:tcW w:w="270" w:type="dxa"/>
          </w:tcPr>
          <w:p w14:paraId="7D56110E" w14:textId="77777777" w:rsidR="00B231A3" w:rsidRDefault="00B231A3"/>
        </w:tc>
        <w:tc>
          <w:tcPr>
            <w:tcW w:w="6660" w:type="dxa"/>
            <w:vMerge/>
            <w:shd w:val="clear" w:color="auto" w:fill="auto"/>
          </w:tcPr>
          <w:p w14:paraId="69D933A1" w14:textId="77777777" w:rsidR="00B231A3" w:rsidRPr="0031203E" w:rsidRDefault="00B231A3" w:rsidP="00596285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5"/>
              <w:rPr>
                <w:rFonts w:ascii="Century Gothic" w:hAnsi="Century Gothic" w:cs="Arial"/>
                <w:bCs/>
                <w:color w:val="2F5496" w:themeColor="accent1" w:themeShade="BF"/>
                <w:spacing w:val="-3"/>
                <w:kern w:val="0"/>
                <w:sz w:val="21"/>
                <w:szCs w:val="21"/>
                <w:lang w:eastAsia="fr-FR"/>
                <w14:ligatures w14:val="none"/>
                <w14:cntxtAlts w14:val="0"/>
              </w:rPr>
            </w:pPr>
          </w:p>
        </w:tc>
      </w:tr>
    </w:tbl>
    <w:p w14:paraId="484423C4" w14:textId="7CFAA5CD" w:rsidR="00B20F30" w:rsidRDefault="00464704" w:rsidP="00A46DF8"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194D8DBD" wp14:editId="4B4CAEF4">
            <wp:simplePos x="0" y="0"/>
            <wp:positionH relativeFrom="column">
              <wp:posOffset>-80010</wp:posOffset>
            </wp:positionH>
            <wp:positionV relativeFrom="paragraph">
              <wp:posOffset>-8279765</wp:posOffset>
            </wp:positionV>
            <wp:extent cx="2933700" cy="2458720"/>
            <wp:effectExtent l="152400" t="152400" r="361950" b="360680"/>
            <wp:wrapNone/>
            <wp:docPr id="3" name="Image 3" descr="Une image contenant texte, personne, posant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personne, posant, sign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45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0F30" w:rsidSect="006F6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474" w:bottom="0" w:left="426" w:header="255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DF71" w14:textId="77777777" w:rsidR="00B374A7" w:rsidRDefault="00B374A7" w:rsidP="003958A0">
      <w:pPr>
        <w:spacing w:after="0" w:line="240" w:lineRule="auto"/>
      </w:pPr>
      <w:r>
        <w:separator/>
      </w:r>
    </w:p>
  </w:endnote>
  <w:endnote w:type="continuationSeparator" w:id="0">
    <w:p w14:paraId="41289A65" w14:textId="77777777" w:rsidR="00B374A7" w:rsidRDefault="00B374A7" w:rsidP="0039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9501" w14:textId="77777777" w:rsidR="003958A0" w:rsidRDefault="003958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2F096" w14:textId="77777777" w:rsidR="003958A0" w:rsidRDefault="003958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1C8B" w14:textId="77777777" w:rsidR="003958A0" w:rsidRDefault="003958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2DCD" w14:textId="77777777" w:rsidR="00B374A7" w:rsidRDefault="00B374A7" w:rsidP="003958A0">
      <w:pPr>
        <w:spacing w:after="0" w:line="240" w:lineRule="auto"/>
      </w:pPr>
      <w:r>
        <w:separator/>
      </w:r>
    </w:p>
  </w:footnote>
  <w:footnote w:type="continuationSeparator" w:id="0">
    <w:p w14:paraId="6704CF5B" w14:textId="77777777" w:rsidR="00B374A7" w:rsidRDefault="00B374A7" w:rsidP="0039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AE8A" w14:textId="77777777" w:rsidR="003958A0" w:rsidRDefault="003958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8DF9" w14:textId="77777777" w:rsidR="003958A0" w:rsidRDefault="003958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6BD86" w14:textId="77777777" w:rsidR="003958A0" w:rsidRDefault="003958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C566"/>
      </v:shape>
    </w:pict>
  </w:numPicBullet>
  <w:abstractNum w:abstractNumId="0" w15:restartNumberingAfterBreak="0">
    <w:nsid w:val="1E695179"/>
    <w:multiLevelType w:val="hybridMultilevel"/>
    <w:tmpl w:val="84ECF100"/>
    <w:lvl w:ilvl="0" w:tplc="0C0C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9E57026"/>
    <w:multiLevelType w:val="multilevel"/>
    <w:tmpl w:val="6A4682AE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2E5395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490C0B"/>
    <w:multiLevelType w:val="hybridMultilevel"/>
    <w:tmpl w:val="89DC23CC"/>
    <w:lvl w:ilvl="0" w:tplc="0C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ED80D14"/>
    <w:multiLevelType w:val="hybridMultilevel"/>
    <w:tmpl w:val="5450D4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F1D18"/>
    <w:multiLevelType w:val="hybridMultilevel"/>
    <w:tmpl w:val="BA001D02"/>
    <w:lvl w:ilvl="0" w:tplc="0C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56443A95"/>
    <w:multiLevelType w:val="hybridMultilevel"/>
    <w:tmpl w:val="081A248E"/>
    <w:lvl w:ilvl="0" w:tplc="AF027BC0"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  <w:color w:val="2F5496" w:themeColor="accent1" w:themeShade="BF"/>
        <w:sz w:val="22"/>
      </w:rPr>
    </w:lvl>
    <w:lvl w:ilvl="1" w:tplc="0C0C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6" w15:restartNumberingAfterBreak="0">
    <w:nsid w:val="6461271F"/>
    <w:multiLevelType w:val="hybridMultilevel"/>
    <w:tmpl w:val="88860B84"/>
    <w:lvl w:ilvl="0" w:tplc="0C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BE"/>
    <w:rsid w:val="00005152"/>
    <w:rsid w:val="00043ABE"/>
    <w:rsid w:val="00093133"/>
    <w:rsid w:val="000931BE"/>
    <w:rsid w:val="000F0A2D"/>
    <w:rsid w:val="001211B0"/>
    <w:rsid w:val="00122B31"/>
    <w:rsid w:val="00126601"/>
    <w:rsid w:val="001318C8"/>
    <w:rsid w:val="00140663"/>
    <w:rsid w:val="00151824"/>
    <w:rsid w:val="00160BBC"/>
    <w:rsid w:val="00176D14"/>
    <w:rsid w:val="00210BA2"/>
    <w:rsid w:val="00220CEB"/>
    <w:rsid w:val="002449B2"/>
    <w:rsid w:val="00270F0A"/>
    <w:rsid w:val="00291819"/>
    <w:rsid w:val="002B4DD7"/>
    <w:rsid w:val="002E0B66"/>
    <w:rsid w:val="003108BF"/>
    <w:rsid w:val="0031203E"/>
    <w:rsid w:val="00341ACD"/>
    <w:rsid w:val="00383EB6"/>
    <w:rsid w:val="003958A0"/>
    <w:rsid w:val="00416149"/>
    <w:rsid w:val="00461E43"/>
    <w:rsid w:val="00464704"/>
    <w:rsid w:val="00472B39"/>
    <w:rsid w:val="004D0F86"/>
    <w:rsid w:val="004E403C"/>
    <w:rsid w:val="004E7F37"/>
    <w:rsid w:val="004F465B"/>
    <w:rsid w:val="004F46F3"/>
    <w:rsid w:val="004F6331"/>
    <w:rsid w:val="004F71A9"/>
    <w:rsid w:val="00526BD6"/>
    <w:rsid w:val="00552718"/>
    <w:rsid w:val="00557A38"/>
    <w:rsid w:val="00560461"/>
    <w:rsid w:val="00583D67"/>
    <w:rsid w:val="00596285"/>
    <w:rsid w:val="005A1A91"/>
    <w:rsid w:val="005A4734"/>
    <w:rsid w:val="005C75C4"/>
    <w:rsid w:val="005F44B8"/>
    <w:rsid w:val="006000B4"/>
    <w:rsid w:val="00613AAC"/>
    <w:rsid w:val="006421E9"/>
    <w:rsid w:val="00645E34"/>
    <w:rsid w:val="0066011E"/>
    <w:rsid w:val="006726B9"/>
    <w:rsid w:val="00692E1D"/>
    <w:rsid w:val="006C4D2B"/>
    <w:rsid w:val="006C64DD"/>
    <w:rsid w:val="006D7E3C"/>
    <w:rsid w:val="006F6A53"/>
    <w:rsid w:val="006F7999"/>
    <w:rsid w:val="0072397C"/>
    <w:rsid w:val="007A2CE9"/>
    <w:rsid w:val="007B25D5"/>
    <w:rsid w:val="007B458A"/>
    <w:rsid w:val="007D6E4E"/>
    <w:rsid w:val="00833867"/>
    <w:rsid w:val="00853ADD"/>
    <w:rsid w:val="00856C8E"/>
    <w:rsid w:val="00863EAB"/>
    <w:rsid w:val="00885E9E"/>
    <w:rsid w:val="008862C2"/>
    <w:rsid w:val="008A514A"/>
    <w:rsid w:val="008A6044"/>
    <w:rsid w:val="008C1438"/>
    <w:rsid w:val="008C275C"/>
    <w:rsid w:val="008C5DE0"/>
    <w:rsid w:val="008D1E6A"/>
    <w:rsid w:val="008E1FCD"/>
    <w:rsid w:val="008E3C10"/>
    <w:rsid w:val="008F4CDB"/>
    <w:rsid w:val="009258DB"/>
    <w:rsid w:val="00931446"/>
    <w:rsid w:val="00957112"/>
    <w:rsid w:val="0097727C"/>
    <w:rsid w:val="009936BB"/>
    <w:rsid w:val="009C01CF"/>
    <w:rsid w:val="009E2574"/>
    <w:rsid w:val="009E40DD"/>
    <w:rsid w:val="009E7FCE"/>
    <w:rsid w:val="00A104CB"/>
    <w:rsid w:val="00A37CA9"/>
    <w:rsid w:val="00A447EB"/>
    <w:rsid w:val="00A46DF8"/>
    <w:rsid w:val="00A47EF0"/>
    <w:rsid w:val="00A5139B"/>
    <w:rsid w:val="00A76EDD"/>
    <w:rsid w:val="00A94C75"/>
    <w:rsid w:val="00AB4BF5"/>
    <w:rsid w:val="00AC6E0C"/>
    <w:rsid w:val="00AD095E"/>
    <w:rsid w:val="00B03319"/>
    <w:rsid w:val="00B20F30"/>
    <w:rsid w:val="00B231A3"/>
    <w:rsid w:val="00B34122"/>
    <w:rsid w:val="00B374A7"/>
    <w:rsid w:val="00B53014"/>
    <w:rsid w:val="00BB425D"/>
    <w:rsid w:val="00C36BD4"/>
    <w:rsid w:val="00C40F4E"/>
    <w:rsid w:val="00C56F31"/>
    <w:rsid w:val="00C92CCB"/>
    <w:rsid w:val="00C95564"/>
    <w:rsid w:val="00CA240E"/>
    <w:rsid w:val="00CD540F"/>
    <w:rsid w:val="00D25B94"/>
    <w:rsid w:val="00D44637"/>
    <w:rsid w:val="00D4667A"/>
    <w:rsid w:val="00D71603"/>
    <w:rsid w:val="00DE230F"/>
    <w:rsid w:val="00E12516"/>
    <w:rsid w:val="00E36F2B"/>
    <w:rsid w:val="00E4144A"/>
    <w:rsid w:val="00E51E25"/>
    <w:rsid w:val="00E96E39"/>
    <w:rsid w:val="00EC3031"/>
    <w:rsid w:val="00F1591B"/>
    <w:rsid w:val="00F33BD9"/>
    <w:rsid w:val="00F677F7"/>
    <w:rsid w:val="00F731FE"/>
    <w:rsid w:val="00F7655C"/>
    <w:rsid w:val="00FC1BF5"/>
    <w:rsid w:val="00FD719A"/>
    <w:rsid w:val="00FE0C2A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C61CB"/>
  <w15:chartTrackingRefBased/>
  <w15:docId w15:val="{34CAF36E-4812-4216-89AB-D82A5F4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1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21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EAB"/>
    <w:rPr>
      <w:rFonts w:ascii="Segoe UI" w:eastAsia="Times New Roman" w:hAnsi="Segoe UI" w:cs="Segoe UI"/>
      <w:color w:val="000000"/>
      <w:kern w:val="28"/>
      <w:sz w:val="18"/>
      <w:szCs w:val="18"/>
      <w:lang w:eastAsia="fr-CA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958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8A0"/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958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8A0"/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Rimouski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Canuel, Mélanie</dc:creator>
  <cp:keywords/>
  <dc:description/>
  <cp:lastModifiedBy>Caissie, Mélanie</cp:lastModifiedBy>
  <cp:revision>5</cp:revision>
  <cp:lastPrinted>2022-05-31T13:55:00Z</cp:lastPrinted>
  <dcterms:created xsi:type="dcterms:W3CDTF">2022-05-05T15:20:00Z</dcterms:created>
  <dcterms:modified xsi:type="dcterms:W3CDTF">2022-05-31T18:22:00Z</dcterms:modified>
</cp:coreProperties>
</file>